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37" w:rsidRDefault="008A011B" w:rsidP="00026737">
      <w:pPr>
        <w:autoSpaceDE/>
        <w:autoSpaceDN/>
        <w:adjustRightInd/>
        <w:spacing w:after="0"/>
      </w:pPr>
      <w:r>
        <w:t xml:space="preserve"> </w:t>
      </w:r>
    </w:p>
    <w:p w:rsidR="00026737" w:rsidRDefault="008A011B" w:rsidP="00026737">
      <w:pPr>
        <w:autoSpaceDE/>
        <w:autoSpaceDN/>
        <w:adjustRightInd/>
        <w:spacing w:after="0"/>
        <w:sectPr w:rsidR="00026737" w:rsidSect="00026737">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5768975</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EE" w:rsidRDefault="00A953D6" w:rsidP="00026737">
                            <w:pPr>
                              <w:spacing w:after="0"/>
                              <w:ind w:right="-46"/>
                              <w:jc w:val="left"/>
                              <w:rPr>
                                <w:rFonts w:cs="Arial"/>
                                <w:b/>
                                <w:bCs/>
                                <w:sz w:val="52"/>
                                <w:szCs w:val="52"/>
                              </w:rPr>
                            </w:pPr>
                          </w:p>
                          <w:p w:rsidR="00317DEE" w:rsidRPr="0037393E" w:rsidRDefault="00A953D6" w:rsidP="00026737">
                            <w:pPr>
                              <w:spacing w:after="0"/>
                              <w:ind w:right="-46"/>
                              <w:jc w:val="left"/>
                              <w:rPr>
                                <w:rFonts w:cs="Arial"/>
                                <w:b/>
                                <w:bCs/>
                                <w:sz w:val="52"/>
                                <w:szCs w:val="52"/>
                              </w:rPr>
                            </w:pPr>
                          </w:p>
                          <w:p w:rsidR="00317DEE" w:rsidRDefault="008A011B" w:rsidP="00026737">
                            <w:pPr>
                              <w:spacing w:after="0"/>
                              <w:ind w:right="-46"/>
                              <w:jc w:val="left"/>
                              <w:rPr>
                                <w:rFonts w:cs="Arial"/>
                                <w:b/>
                                <w:bCs/>
                                <w:sz w:val="52"/>
                                <w:szCs w:val="52"/>
                              </w:rPr>
                            </w:pPr>
                            <w:r>
                              <w:rPr>
                                <w:rFonts w:cs="Arial"/>
                                <w:b/>
                                <w:bCs/>
                                <w:sz w:val="52"/>
                                <w:szCs w:val="52"/>
                              </w:rPr>
                              <w:t>Money Matters</w:t>
                            </w:r>
                          </w:p>
                          <w:p w:rsidR="00317DEE" w:rsidRDefault="008A011B" w:rsidP="00026737">
                            <w:pPr>
                              <w:spacing w:after="0"/>
                              <w:ind w:right="-46"/>
                              <w:jc w:val="left"/>
                              <w:rPr>
                                <w:rFonts w:cs="Arial"/>
                                <w:b/>
                                <w:bCs/>
                                <w:sz w:val="52"/>
                                <w:szCs w:val="52"/>
                              </w:rPr>
                            </w:pPr>
                            <w:r>
                              <w:rPr>
                                <w:rFonts w:cs="Arial"/>
                                <w:b/>
                                <w:bCs/>
                                <w:sz w:val="52"/>
                                <w:szCs w:val="52"/>
                              </w:rPr>
                              <w:t xml:space="preserve">The County Council's Revenue and Capital Financial Position </w:t>
                            </w:r>
                          </w:p>
                          <w:p w:rsidR="00317DEE" w:rsidRPr="0037393E" w:rsidRDefault="008A011B" w:rsidP="00026737">
                            <w:pPr>
                              <w:spacing w:after="0"/>
                              <w:ind w:right="-46"/>
                              <w:jc w:val="left"/>
                              <w:rPr>
                                <w:rFonts w:cs="Arial"/>
                                <w:b/>
                                <w:bCs/>
                                <w:sz w:val="52"/>
                                <w:szCs w:val="52"/>
                              </w:rPr>
                            </w:pPr>
                            <w:r>
                              <w:rPr>
                                <w:rFonts w:cs="Arial"/>
                                <w:b/>
                                <w:bCs/>
                                <w:sz w:val="52"/>
                                <w:szCs w:val="52"/>
                              </w:rPr>
                              <w:t xml:space="preserve">2017/18 Outturn </w:t>
                            </w:r>
                          </w:p>
                          <w:p w:rsidR="00317DEE" w:rsidRPr="0037393E" w:rsidRDefault="00A953D6" w:rsidP="00026737">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454.25pt;margin-left:-38.9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317DEE" w:rsidP="00026737">
                      <w:pPr>
                        <w:spacing w:after="0"/>
                        <w:ind w:right="-46"/>
                        <w:jc w:val="left"/>
                        <w:rPr>
                          <w:rFonts w:cs="Arial"/>
                          <w:b/>
                          <w:bCs/>
                          <w:sz w:val="52"/>
                          <w:szCs w:val="52"/>
                        </w:rPr>
                      </w:pPr>
                    </w:p>
                    <w:p w:rsidR="00317DEE" w:rsidRPr="0037393E" w:rsidP="00026737">
                      <w:pPr>
                        <w:spacing w:after="0"/>
                        <w:ind w:right="-46"/>
                        <w:jc w:val="left"/>
                        <w:rPr>
                          <w:rFonts w:cs="Arial"/>
                          <w:b/>
                          <w:bCs/>
                          <w:sz w:val="52"/>
                          <w:szCs w:val="52"/>
                        </w:rPr>
                      </w:pPr>
                    </w:p>
                    <w:p w:rsidR="00317DEE" w:rsidP="00026737">
                      <w:pPr>
                        <w:spacing w:after="0"/>
                        <w:ind w:right="-46"/>
                        <w:jc w:val="left"/>
                        <w:rPr>
                          <w:rFonts w:cs="Arial"/>
                          <w:b/>
                          <w:bCs/>
                          <w:sz w:val="52"/>
                          <w:szCs w:val="52"/>
                        </w:rPr>
                      </w:pPr>
                      <w:r>
                        <w:rPr>
                          <w:rFonts w:cs="Arial"/>
                          <w:b/>
                          <w:bCs/>
                          <w:sz w:val="52"/>
                          <w:szCs w:val="52"/>
                        </w:rPr>
                        <w:t>Money Matte</w:t>
                      </w:r>
                      <w:r>
                        <w:rPr>
                          <w:rFonts w:cs="Arial"/>
                          <w:b/>
                          <w:bCs/>
                          <w:sz w:val="52"/>
                          <w:szCs w:val="52"/>
                        </w:rPr>
                        <w:t>rs</w:t>
                      </w:r>
                    </w:p>
                    <w:p w:rsidR="00317DEE" w:rsidP="00026737">
                      <w:pPr>
                        <w:spacing w:after="0"/>
                        <w:ind w:right="-46"/>
                        <w:jc w:val="left"/>
                        <w:rPr>
                          <w:rFonts w:cs="Arial"/>
                          <w:b/>
                          <w:bCs/>
                          <w:sz w:val="52"/>
                          <w:szCs w:val="52"/>
                        </w:rPr>
                      </w:pPr>
                      <w:r>
                        <w:rPr>
                          <w:rFonts w:cs="Arial"/>
                          <w:b/>
                          <w:bCs/>
                          <w:sz w:val="52"/>
                          <w:szCs w:val="52"/>
                        </w:rPr>
                        <w:t xml:space="preserve">The County Council's Revenue and Capital Financial Position </w:t>
                      </w:r>
                    </w:p>
                    <w:p w:rsidR="00317DEE" w:rsidRPr="0037393E" w:rsidP="00026737">
                      <w:pPr>
                        <w:spacing w:after="0"/>
                        <w:ind w:right="-46"/>
                        <w:jc w:val="left"/>
                        <w:rPr>
                          <w:rFonts w:cs="Arial"/>
                          <w:b/>
                          <w:bCs/>
                          <w:sz w:val="52"/>
                          <w:szCs w:val="52"/>
                        </w:rPr>
                      </w:pPr>
                      <w:r>
                        <w:rPr>
                          <w:rFonts w:cs="Arial"/>
                          <w:b/>
                          <w:bCs/>
                          <w:sz w:val="52"/>
                          <w:szCs w:val="52"/>
                        </w:rPr>
                        <w:t xml:space="preserve">2017/18 Outturn </w:t>
                      </w:r>
                    </w:p>
                    <w:p w:rsidR="00317DEE" w:rsidRPr="0037393E" w:rsidP="00026737">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6657"/>
        <w:gridCol w:w="2318"/>
      </w:tblGrid>
      <w:tr w:rsidR="006D1BD3" w:rsidTr="00026737">
        <w:tc>
          <w:tcPr>
            <w:tcW w:w="6657" w:type="dxa"/>
          </w:tcPr>
          <w:p w:rsidR="00026737" w:rsidRDefault="00A953D6" w:rsidP="00026737">
            <w:pPr>
              <w:spacing w:after="0"/>
              <w:ind w:right="-46"/>
              <w:jc w:val="center"/>
              <w:rPr>
                <w:rFonts w:cs="Arial"/>
                <w:b/>
                <w:bCs/>
                <w:sz w:val="26"/>
                <w:szCs w:val="26"/>
              </w:rPr>
            </w:pPr>
          </w:p>
          <w:p w:rsidR="00026737" w:rsidRPr="00E775EA" w:rsidRDefault="008A011B" w:rsidP="00026737">
            <w:pPr>
              <w:spacing w:after="0"/>
              <w:ind w:right="-46"/>
              <w:jc w:val="center"/>
              <w:rPr>
                <w:rFonts w:cs="Arial"/>
                <w:b/>
                <w:bCs/>
                <w:sz w:val="26"/>
                <w:szCs w:val="26"/>
              </w:rPr>
            </w:pPr>
            <w:r w:rsidRPr="00E775EA">
              <w:rPr>
                <w:rFonts w:cs="Arial"/>
                <w:b/>
                <w:bCs/>
                <w:sz w:val="26"/>
                <w:szCs w:val="26"/>
              </w:rPr>
              <w:t>Contents</w:t>
            </w:r>
          </w:p>
          <w:p w:rsidR="00026737" w:rsidRPr="00E775EA" w:rsidRDefault="00A953D6" w:rsidP="00026737">
            <w:pPr>
              <w:spacing w:after="0"/>
              <w:ind w:right="-46"/>
              <w:jc w:val="center"/>
              <w:rPr>
                <w:rFonts w:cs="Arial"/>
                <w:b/>
                <w:bCs/>
                <w:sz w:val="26"/>
                <w:szCs w:val="26"/>
              </w:rPr>
            </w:pPr>
          </w:p>
        </w:tc>
        <w:tc>
          <w:tcPr>
            <w:tcW w:w="2318" w:type="dxa"/>
          </w:tcPr>
          <w:p w:rsidR="00026737" w:rsidRDefault="00A953D6" w:rsidP="00026737">
            <w:pPr>
              <w:spacing w:after="0"/>
              <w:ind w:right="-46"/>
              <w:jc w:val="center"/>
              <w:rPr>
                <w:rFonts w:cs="Arial"/>
                <w:b/>
                <w:bCs/>
                <w:sz w:val="26"/>
                <w:szCs w:val="26"/>
              </w:rPr>
            </w:pPr>
          </w:p>
          <w:p w:rsidR="00026737" w:rsidRPr="00E775EA" w:rsidRDefault="008A011B" w:rsidP="00026737">
            <w:pPr>
              <w:spacing w:after="0"/>
              <w:ind w:right="-46"/>
              <w:jc w:val="center"/>
              <w:rPr>
                <w:rFonts w:cs="Arial"/>
                <w:b/>
                <w:bCs/>
                <w:sz w:val="26"/>
                <w:szCs w:val="26"/>
              </w:rPr>
            </w:pPr>
            <w:r w:rsidRPr="00E775EA">
              <w:rPr>
                <w:rFonts w:cs="Arial"/>
                <w:b/>
                <w:bCs/>
                <w:sz w:val="26"/>
                <w:szCs w:val="26"/>
              </w:rPr>
              <w:t>Page</w:t>
            </w:r>
          </w:p>
        </w:tc>
      </w:tr>
      <w:tr w:rsidR="006D1BD3" w:rsidTr="00026737">
        <w:tc>
          <w:tcPr>
            <w:tcW w:w="6657" w:type="dxa"/>
            <w:vAlign w:val="center"/>
          </w:tcPr>
          <w:p w:rsidR="00026737" w:rsidRDefault="00A953D6" w:rsidP="00026737">
            <w:pPr>
              <w:spacing w:after="0"/>
              <w:ind w:right="-46"/>
              <w:jc w:val="left"/>
              <w:rPr>
                <w:rFonts w:cs="Arial"/>
                <w:bCs/>
                <w:sz w:val="26"/>
                <w:szCs w:val="26"/>
              </w:rPr>
            </w:pPr>
          </w:p>
          <w:p w:rsidR="00026737" w:rsidRDefault="008A011B" w:rsidP="00026737">
            <w:pPr>
              <w:spacing w:after="0"/>
              <w:ind w:right="-46"/>
              <w:jc w:val="left"/>
              <w:rPr>
                <w:rFonts w:cs="Arial"/>
                <w:bCs/>
                <w:sz w:val="26"/>
                <w:szCs w:val="26"/>
              </w:rPr>
            </w:pPr>
            <w:r w:rsidRPr="007763ED">
              <w:rPr>
                <w:rFonts w:cs="Arial"/>
                <w:bCs/>
                <w:sz w:val="26"/>
                <w:szCs w:val="26"/>
              </w:rPr>
              <w:t>Executive Summary</w:t>
            </w:r>
          </w:p>
          <w:p w:rsidR="00026737" w:rsidRPr="007763ED" w:rsidRDefault="00A953D6" w:rsidP="00026737">
            <w:pPr>
              <w:spacing w:after="0"/>
              <w:ind w:right="-46"/>
              <w:jc w:val="left"/>
              <w:rPr>
                <w:rFonts w:cs="Arial"/>
                <w:bCs/>
                <w:sz w:val="26"/>
                <w:szCs w:val="26"/>
              </w:rPr>
            </w:pPr>
          </w:p>
        </w:tc>
        <w:tc>
          <w:tcPr>
            <w:tcW w:w="2318" w:type="dxa"/>
            <w:vAlign w:val="center"/>
          </w:tcPr>
          <w:p w:rsidR="00026737" w:rsidRPr="00DC1862" w:rsidRDefault="008A011B" w:rsidP="00026737">
            <w:pPr>
              <w:spacing w:after="0"/>
              <w:ind w:right="-46"/>
              <w:jc w:val="center"/>
              <w:rPr>
                <w:rFonts w:cs="Arial"/>
                <w:bCs/>
                <w:sz w:val="26"/>
                <w:szCs w:val="26"/>
              </w:rPr>
            </w:pPr>
            <w:r w:rsidRPr="00DC1862">
              <w:rPr>
                <w:rFonts w:cs="Arial"/>
                <w:bCs/>
                <w:sz w:val="26"/>
                <w:szCs w:val="26"/>
              </w:rPr>
              <w:t>2</w:t>
            </w:r>
          </w:p>
        </w:tc>
      </w:tr>
      <w:tr w:rsidR="006D1BD3" w:rsidTr="00026737">
        <w:tc>
          <w:tcPr>
            <w:tcW w:w="6657" w:type="dxa"/>
          </w:tcPr>
          <w:p w:rsidR="00026737" w:rsidRPr="00DF68C8" w:rsidRDefault="00A953D6" w:rsidP="00026737">
            <w:pPr>
              <w:tabs>
                <w:tab w:val="left" w:pos="1447"/>
              </w:tabs>
              <w:spacing w:after="0"/>
              <w:ind w:right="-46"/>
              <w:rPr>
                <w:rFonts w:cs="Arial"/>
                <w:bCs/>
              </w:rPr>
            </w:pPr>
          </w:p>
          <w:p w:rsidR="00026737" w:rsidRPr="00DF68C8" w:rsidRDefault="008A011B" w:rsidP="00026737">
            <w:pPr>
              <w:tabs>
                <w:tab w:val="left" w:pos="1447"/>
              </w:tabs>
              <w:spacing w:after="0"/>
              <w:ind w:right="-46"/>
              <w:rPr>
                <w:rFonts w:cs="Arial"/>
                <w:bCs/>
              </w:rPr>
            </w:pPr>
            <w:r>
              <w:rPr>
                <w:rFonts w:cs="Arial"/>
                <w:bCs/>
              </w:rPr>
              <w:t>Section A - T</w:t>
            </w:r>
            <w:r w:rsidRPr="00DF68C8">
              <w:rPr>
                <w:rFonts w:cs="Arial"/>
                <w:bCs/>
              </w:rPr>
              <w:t>he 201</w:t>
            </w:r>
            <w:r>
              <w:rPr>
                <w:rFonts w:cs="Arial"/>
                <w:bCs/>
              </w:rPr>
              <w:t>7</w:t>
            </w:r>
            <w:r w:rsidRPr="00DF68C8">
              <w:rPr>
                <w:rFonts w:cs="Arial"/>
                <w:bCs/>
              </w:rPr>
              <w:t>/1</w:t>
            </w:r>
            <w:r>
              <w:rPr>
                <w:rFonts w:cs="Arial"/>
                <w:bCs/>
              </w:rPr>
              <w:t>8</w:t>
            </w:r>
            <w:r w:rsidRPr="00DF68C8">
              <w:rPr>
                <w:rFonts w:cs="Arial"/>
                <w:bCs/>
              </w:rPr>
              <w:t xml:space="preserve"> Revenue Budget</w:t>
            </w:r>
          </w:p>
          <w:p w:rsidR="00026737" w:rsidRPr="00DF68C8" w:rsidRDefault="00A953D6" w:rsidP="00026737">
            <w:pPr>
              <w:tabs>
                <w:tab w:val="left" w:pos="1447"/>
              </w:tabs>
              <w:spacing w:after="0"/>
              <w:ind w:right="-46"/>
              <w:rPr>
                <w:rFonts w:cs="Arial"/>
                <w:bCs/>
              </w:rPr>
            </w:pPr>
          </w:p>
        </w:tc>
        <w:tc>
          <w:tcPr>
            <w:tcW w:w="2318" w:type="dxa"/>
            <w:vAlign w:val="center"/>
          </w:tcPr>
          <w:p w:rsidR="00026737" w:rsidRPr="00BE21CC" w:rsidRDefault="008A011B" w:rsidP="00026737">
            <w:pPr>
              <w:spacing w:after="0"/>
              <w:ind w:right="-46"/>
              <w:jc w:val="center"/>
              <w:rPr>
                <w:rFonts w:cs="Arial"/>
                <w:bCs/>
              </w:rPr>
            </w:pPr>
            <w:r>
              <w:rPr>
                <w:rFonts w:cs="Arial"/>
                <w:bCs/>
              </w:rPr>
              <w:t>4</w:t>
            </w:r>
          </w:p>
        </w:tc>
      </w:tr>
      <w:tr w:rsidR="006D1BD3" w:rsidTr="00026737">
        <w:tc>
          <w:tcPr>
            <w:tcW w:w="6657" w:type="dxa"/>
          </w:tcPr>
          <w:p w:rsidR="00026737" w:rsidRDefault="00A953D6" w:rsidP="00026737">
            <w:pPr>
              <w:tabs>
                <w:tab w:val="left" w:pos="1447"/>
              </w:tabs>
              <w:spacing w:after="0"/>
              <w:ind w:right="-46"/>
              <w:rPr>
                <w:rFonts w:cs="Arial"/>
                <w:bCs/>
              </w:rPr>
            </w:pPr>
          </w:p>
          <w:p w:rsidR="00026737" w:rsidRDefault="008A011B" w:rsidP="00026737">
            <w:pPr>
              <w:tabs>
                <w:tab w:val="left" w:pos="1447"/>
              </w:tabs>
              <w:spacing w:after="0"/>
              <w:ind w:right="-46"/>
              <w:rPr>
                <w:rFonts w:cs="Arial"/>
                <w:bCs/>
              </w:rPr>
            </w:pPr>
            <w:r>
              <w:rPr>
                <w:rFonts w:cs="Arial"/>
                <w:bCs/>
              </w:rPr>
              <w:t>Section B – The 2017/18 Capital Programme</w:t>
            </w:r>
          </w:p>
          <w:p w:rsidR="00026737" w:rsidRPr="00DF68C8" w:rsidRDefault="00A953D6" w:rsidP="00026737">
            <w:pPr>
              <w:tabs>
                <w:tab w:val="left" w:pos="1447"/>
              </w:tabs>
              <w:spacing w:after="0"/>
              <w:ind w:right="-46"/>
              <w:rPr>
                <w:rFonts w:cs="Arial"/>
                <w:bCs/>
              </w:rPr>
            </w:pPr>
          </w:p>
        </w:tc>
        <w:tc>
          <w:tcPr>
            <w:tcW w:w="2318" w:type="dxa"/>
            <w:vAlign w:val="center"/>
          </w:tcPr>
          <w:p w:rsidR="00026737" w:rsidRDefault="008A011B" w:rsidP="00026737">
            <w:pPr>
              <w:spacing w:after="0"/>
              <w:ind w:right="-46"/>
              <w:jc w:val="center"/>
              <w:rPr>
                <w:rFonts w:cs="Arial"/>
                <w:bCs/>
              </w:rPr>
            </w:pPr>
            <w:r>
              <w:rPr>
                <w:rFonts w:cs="Arial"/>
                <w:bCs/>
              </w:rPr>
              <w:t>22</w:t>
            </w:r>
          </w:p>
        </w:tc>
      </w:tr>
      <w:tr w:rsidR="006D1BD3" w:rsidTr="00026737">
        <w:tc>
          <w:tcPr>
            <w:tcW w:w="6657" w:type="dxa"/>
          </w:tcPr>
          <w:p w:rsidR="00026737" w:rsidRDefault="00A953D6" w:rsidP="00026737">
            <w:pPr>
              <w:tabs>
                <w:tab w:val="left" w:pos="1447"/>
              </w:tabs>
              <w:spacing w:after="0"/>
              <w:ind w:right="-46"/>
              <w:rPr>
                <w:rFonts w:cs="Arial"/>
                <w:bCs/>
              </w:rPr>
            </w:pPr>
          </w:p>
          <w:p w:rsidR="00026737" w:rsidRDefault="008A011B" w:rsidP="00026737">
            <w:pPr>
              <w:tabs>
                <w:tab w:val="left" w:pos="1447"/>
              </w:tabs>
              <w:spacing w:after="0"/>
              <w:ind w:left="1305" w:right="-46" w:hanging="1276"/>
              <w:rPr>
                <w:rFonts w:cs="Arial"/>
                <w:bCs/>
              </w:rPr>
            </w:pPr>
            <w:r>
              <w:rPr>
                <w:rFonts w:cs="Arial"/>
                <w:bCs/>
              </w:rPr>
              <w:t>Section C – County Fund Balance, Reserves, Provisions and Capital Receipts</w:t>
            </w:r>
          </w:p>
          <w:p w:rsidR="00026737" w:rsidRPr="00DF68C8" w:rsidRDefault="00A953D6" w:rsidP="00026737">
            <w:pPr>
              <w:tabs>
                <w:tab w:val="left" w:pos="1447"/>
              </w:tabs>
              <w:spacing w:after="0"/>
              <w:ind w:right="-46"/>
              <w:rPr>
                <w:rFonts w:cs="Arial"/>
                <w:bCs/>
              </w:rPr>
            </w:pPr>
          </w:p>
        </w:tc>
        <w:tc>
          <w:tcPr>
            <w:tcW w:w="2318" w:type="dxa"/>
            <w:vAlign w:val="center"/>
          </w:tcPr>
          <w:p w:rsidR="00026737" w:rsidRDefault="008A011B" w:rsidP="00026737">
            <w:pPr>
              <w:spacing w:after="0"/>
              <w:ind w:right="-46"/>
              <w:jc w:val="center"/>
              <w:rPr>
                <w:rFonts w:cs="Arial"/>
                <w:bCs/>
              </w:rPr>
            </w:pPr>
            <w:r>
              <w:rPr>
                <w:rFonts w:cs="Arial"/>
                <w:bCs/>
              </w:rPr>
              <w:t>32</w:t>
            </w:r>
          </w:p>
        </w:tc>
      </w:tr>
      <w:tr w:rsidR="006D1BD3" w:rsidTr="00026737">
        <w:tc>
          <w:tcPr>
            <w:tcW w:w="6657" w:type="dxa"/>
          </w:tcPr>
          <w:p w:rsidR="00026737" w:rsidRDefault="00A953D6" w:rsidP="00026737">
            <w:pPr>
              <w:tabs>
                <w:tab w:val="left" w:pos="1447"/>
              </w:tabs>
              <w:spacing w:after="0"/>
              <w:ind w:right="-46"/>
              <w:rPr>
                <w:rFonts w:cs="Arial"/>
                <w:bCs/>
              </w:rPr>
            </w:pPr>
          </w:p>
          <w:p w:rsidR="00026737" w:rsidRDefault="008A011B" w:rsidP="00026737">
            <w:pPr>
              <w:tabs>
                <w:tab w:val="left" w:pos="1447"/>
              </w:tabs>
              <w:spacing w:after="0"/>
              <w:ind w:right="-46"/>
              <w:rPr>
                <w:rFonts w:cs="Arial"/>
                <w:bCs/>
              </w:rPr>
            </w:pPr>
            <w:r>
              <w:rPr>
                <w:rFonts w:cs="Arial"/>
                <w:bCs/>
              </w:rPr>
              <w:t xml:space="preserve">Section D – </w:t>
            </w:r>
            <w:r w:rsidR="00AB7D9B">
              <w:rPr>
                <w:rFonts w:cs="Arial"/>
                <w:bCs/>
              </w:rPr>
              <w:t xml:space="preserve">Conclusion on the County Council's Financial      </w:t>
            </w:r>
            <w:r w:rsidR="00AB7D9B">
              <w:rPr>
                <w:rFonts w:cs="Arial"/>
                <w:bCs/>
              </w:rPr>
              <w:tab/>
              <w:t>Health</w:t>
            </w:r>
          </w:p>
          <w:p w:rsidR="00026737" w:rsidRPr="00DF68C8" w:rsidRDefault="00A953D6" w:rsidP="00026737">
            <w:pPr>
              <w:tabs>
                <w:tab w:val="left" w:pos="1447"/>
              </w:tabs>
              <w:spacing w:after="0"/>
              <w:ind w:right="-46"/>
              <w:rPr>
                <w:rFonts w:cs="Arial"/>
                <w:bCs/>
              </w:rPr>
            </w:pPr>
          </w:p>
        </w:tc>
        <w:tc>
          <w:tcPr>
            <w:tcW w:w="2318" w:type="dxa"/>
            <w:vAlign w:val="center"/>
          </w:tcPr>
          <w:p w:rsidR="00026737" w:rsidRDefault="008A011B" w:rsidP="00026737">
            <w:pPr>
              <w:spacing w:after="0"/>
              <w:ind w:right="-46"/>
              <w:jc w:val="center"/>
              <w:rPr>
                <w:rFonts w:cs="Arial"/>
                <w:bCs/>
              </w:rPr>
            </w:pPr>
            <w:r>
              <w:rPr>
                <w:rFonts w:cs="Arial"/>
                <w:bCs/>
              </w:rPr>
              <w:t>38</w:t>
            </w:r>
          </w:p>
        </w:tc>
      </w:tr>
    </w:tbl>
    <w:p w:rsidR="00026737" w:rsidRDefault="00A953D6" w:rsidP="00026737">
      <w:pPr>
        <w:tabs>
          <w:tab w:val="left" w:pos="851"/>
          <w:tab w:val="left" w:pos="1418"/>
        </w:tabs>
        <w:spacing w:after="0"/>
        <w:rPr>
          <w:rFonts w:eastAsia="Times New Roman" w:cs="Arial"/>
          <w:lang w:eastAsia="en-GB"/>
        </w:rPr>
      </w:pPr>
    </w:p>
    <w:p w:rsidR="00026737" w:rsidRDefault="008A011B" w:rsidP="00026737">
      <w:pPr>
        <w:autoSpaceDE/>
        <w:autoSpaceDN/>
        <w:adjustRightInd/>
        <w:spacing w:after="0"/>
        <w:jc w:val="left"/>
        <w:rPr>
          <w:rFonts w:eastAsia="Times New Roman" w:cs="Arial"/>
          <w:lang w:eastAsia="en-GB"/>
        </w:rPr>
      </w:pPr>
      <w:r>
        <w:rPr>
          <w:rFonts w:eastAsia="Times New Roman" w:cs="Arial"/>
          <w:lang w:eastAsia="en-GB"/>
        </w:rPr>
        <w:br w:type="page"/>
      </w:r>
    </w:p>
    <w:p w:rsidR="00026737" w:rsidRPr="007763ED" w:rsidRDefault="008A011B" w:rsidP="00026737">
      <w:pPr>
        <w:autoSpaceDE/>
        <w:autoSpaceDN/>
        <w:adjustRightInd/>
        <w:spacing w:after="0"/>
        <w:jc w:val="left"/>
        <w:rPr>
          <w:rFonts w:eastAsia="Times New Roman" w:cs="Arial"/>
          <w:b/>
          <w:lang w:eastAsia="en-GB"/>
        </w:rPr>
      </w:pPr>
      <w:r>
        <w:rPr>
          <w:rFonts w:eastAsia="Times New Roman" w:cs="Arial"/>
          <w:b/>
          <w:lang w:eastAsia="en-GB"/>
        </w:rPr>
        <w:lastRenderedPageBreak/>
        <w:t>Executive Summary</w:t>
      </w:r>
    </w:p>
    <w:p w:rsidR="00026737" w:rsidRDefault="00A953D6" w:rsidP="00026737">
      <w:pPr>
        <w:tabs>
          <w:tab w:val="left" w:pos="851"/>
          <w:tab w:val="left" w:pos="1418"/>
        </w:tabs>
        <w:spacing w:after="0"/>
        <w:rPr>
          <w:rFonts w:eastAsia="Times New Roman" w:cs="Arial"/>
          <w:b/>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 xml:space="preserve">This report provides details for Cabinet on the County Council's 2017/18 revenue and capital outturn position.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i/>
          <w:u w:val="single"/>
          <w:lang w:eastAsia="en-GB"/>
        </w:rPr>
      </w:pPr>
      <w:r>
        <w:rPr>
          <w:rFonts w:eastAsia="Times New Roman" w:cs="Arial"/>
          <w:i/>
          <w:u w:val="single"/>
          <w:lang w:eastAsia="en-GB"/>
        </w:rPr>
        <w:t xml:space="preserve">2017/18 Revenue Budget </w:t>
      </w:r>
    </w:p>
    <w:p w:rsidR="00B65939" w:rsidRPr="00964D56" w:rsidRDefault="00A953D6" w:rsidP="00026737">
      <w:pPr>
        <w:tabs>
          <w:tab w:val="left" w:pos="851"/>
          <w:tab w:val="left" w:pos="1418"/>
        </w:tabs>
        <w:spacing w:after="0"/>
        <w:rPr>
          <w:rFonts w:eastAsia="Times New Roman" w:cs="Arial"/>
          <w:i/>
          <w:u w:val="single"/>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 xml:space="preserve">The report outlines the final revenue outturn position whilst also providing a comparison to the last reported position at Quarter 3. The final position at the end of the year is net expenditure of £703.924m, which represents an in year underspend of £20.896m which is 2.88% of the revenue budget.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 xml:space="preserve">It is important to note that the revenue position includes significant levels of support from reserves that have previously been agreed. </w:t>
      </w:r>
      <w:r w:rsidRPr="00F6184B">
        <w:rPr>
          <w:rFonts w:eastAsia="Times New Roman" w:cs="Arial"/>
          <w:b/>
          <w:lang w:eastAsia="en-GB"/>
        </w:rPr>
        <w:t>In 2017/18 the structural reserve funding totalled £58.890m</w:t>
      </w:r>
      <w:r>
        <w:rPr>
          <w:rFonts w:eastAsia="Times New Roman" w:cs="Arial"/>
          <w:b/>
          <w:lang w:eastAsia="en-GB"/>
        </w:rPr>
        <w:t>, primarily covering the funding gap, and</w:t>
      </w:r>
      <w:r w:rsidRPr="00F6184B">
        <w:rPr>
          <w:rFonts w:eastAsia="Times New Roman" w:cs="Arial"/>
          <w:b/>
          <w:lang w:eastAsia="en-GB"/>
        </w:rPr>
        <w:t xml:space="preserve"> if this</w:t>
      </w:r>
      <w:r>
        <w:rPr>
          <w:rFonts w:eastAsia="Times New Roman" w:cs="Arial"/>
          <w:b/>
          <w:lang w:eastAsia="en-GB"/>
        </w:rPr>
        <w:t xml:space="preserve"> support</w:t>
      </w:r>
      <w:r w:rsidRPr="00F6184B">
        <w:rPr>
          <w:rFonts w:eastAsia="Times New Roman" w:cs="Arial"/>
          <w:b/>
          <w:lang w:eastAsia="en-GB"/>
        </w:rPr>
        <w:t xml:space="preserve"> had</w:t>
      </w:r>
      <w:r>
        <w:rPr>
          <w:rFonts w:eastAsia="Times New Roman" w:cs="Arial"/>
          <w:b/>
          <w:lang w:eastAsia="en-GB"/>
        </w:rPr>
        <w:t xml:space="preserve"> not</w:t>
      </w:r>
      <w:r w:rsidRPr="00F6184B">
        <w:rPr>
          <w:rFonts w:eastAsia="Times New Roman" w:cs="Arial"/>
          <w:b/>
          <w:lang w:eastAsia="en-GB"/>
        </w:rPr>
        <w:t xml:space="preserve"> been </w:t>
      </w:r>
      <w:r>
        <w:rPr>
          <w:rFonts w:eastAsia="Times New Roman" w:cs="Arial"/>
          <w:b/>
          <w:lang w:eastAsia="en-GB"/>
        </w:rPr>
        <w:t xml:space="preserve">available then expenditure would have exceeded income </w:t>
      </w:r>
      <w:r w:rsidRPr="00317DEE">
        <w:rPr>
          <w:rFonts w:eastAsia="Times New Roman" w:cs="Arial"/>
          <w:b/>
          <w:lang w:eastAsia="en-GB"/>
        </w:rPr>
        <w:t>by £37.994m.</w:t>
      </w:r>
      <w:r>
        <w:rPr>
          <w:rFonts w:eastAsia="Times New Roman" w:cs="Arial"/>
          <w:b/>
          <w:lang w:eastAsia="en-GB"/>
        </w:rPr>
        <w:t xml:space="preserve">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The most significant areas of over and underspend in 2017/18 are as follows:</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pStyle w:val="ListParagraph"/>
        <w:numPr>
          <w:ilvl w:val="0"/>
          <w:numId w:val="43"/>
        </w:numPr>
        <w:tabs>
          <w:tab w:val="left" w:pos="851"/>
          <w:tab w:val="left" w:pos="1418"/>
        </w:tabs>
        <w:spacing w:after="0"/>
        <w:rPr>
          <w:rFonts w:eastAsia="Times New Roman" w:cs="Arial"/>
          <w:lang w:eastAsia="en-GB"/>
        </w:rPr>
      </w:pPr>
      <w:r>
        <w:rPr>
          <w:rFonts w:eastAsia="Times New Roman" w:cs="Arial"/>
          <w:lang w:eastAsia="en-GB"/>
        </w:rPr>
        <w:t xml:space="preserve">Childrens Social Care – </w:t>
      </w:r>
      <w:r w:rsidRPr="00964D56">
        <w:rPr>
          <w:rFonts w:eastAsia="Times New Roman" w:cs="Arial"/>
          <w:b/>
          <w:lang w:eastAsia="en-GB"/>
        </w:rPr>
        <w:t>£6.017m overspend</w:t>
      </w:r>
      <w:r>
        <w:rPr>
          <w:rFonts w:eastAsia="Times New Roman" w:cs="Arial"/>
          <w:lang w:eastAsia="en-GB"/>
        </w:rPr>
        <w:t xml:space="preserve"> (as a result of agency staffing costs and placement costs)  </w:t>
      </w:r>
    </w:p>
    <w:p w:rsidR="00026737" w:rsidRPr="00F6184B" w:rsidRDefault="00A953D6" w:rsidP="00026737">
      <w:pPr>
        <w:pStyle w:val="ListParagraph"/>
        <w:tabs>
          <w:tab w:val="left" w:pos="851"/>
          <w:tab w:val="left" w:pos="1418"/>
        </w:tabs>
        <w:spacing w:after="0"/>
        <w:rPr>
          <w:rFonts w:eastAsia="Times New Roman" w:cs="Arial"/>
          <w:lang w:eastAsia="en-GB"/>
        </w:rPr>
      </w:pPr>
    </w:p>
    <w:p w:rsidR="00026737" w:rsidRPr="00964D56" w:rsidRDefault="008A011B" w:rsidP="00026737">
      <w:pPr>
        <w:pStyle w:val="ListParagraph"/>
        <w:numPr>
          <w:ilvl w:val="0"/>
          <w:numId w:val="43"/>
        </w:numPr>
        <w:tabs>
          <w:tab w:val="left" w:pos="851"/>
          <w:tab w:val="left" w:pos="1418"/>
        </w:tabs>
        <w:spacing w:after="0"/>
        <w:rPr>
          <w:rFonts w:eastAsia="Times New Roman" w:cs="Arial"/>
          <w:b/>
          <w:lang w:eastAsia="en-GB"/>
        </w:rPr>
      </w:pPr>
      <w:r>
        <w:rPr>
          <w:rFonts w:eastAsia="Times New Roman" w:cs="Arial"/>
          <w:lang w:eastAsia="en-GB"/>
        </w:rPr>
        <w:t xml:space="preserve">Highways – </w:t>
      </w:r>
      <w:r w:rsidRPr="00964D56">
        <w:rPr>
          <w:rFonts w:eastAsia="Times New Roman" w:cs="Arial"/>
          <w:b/>
          <w:lang w:eastAsia="en-GB"/>
        </w:rPr>
        <w:t>£4.758m underspend</w:t>
      </w:r>
      <w:r>
        <w:rPr>
          <w:rFonts w:eastAsia="Times New Roman" w:cs="Arial"/>
          <w:lang w:eastAsia="en-GB"/>
        </w:rPr>
        <w:t xml:space="preserve"> (due to early delivery of savings)</w:t>
      </w:r>
    </w:p>
    <w:p w:rsidR="00026737" w:rsidRPr="00964D56" w:rsidRDefault="00A953D6" w:rsidP="00026737">
      <w:pPr>
        <w:tabs>
          <w:tab w:val="left" w:pos="851"/>
          <w:tab w:val="left" w:pos="1418"/>
        </w:tabs>
        <w:spacing w:after="0"/>
        <w:rPr>
          <w:rFonts w:eastAsia="Times New Roman" w:cs="Arial"/>
          <w:b/>
          <w:lang w:eastAsia="en-GB"/>
        </w:rPr>
      </w:pPr>
    </w:p>
    <w:p w:rsidR="00026737" w:rsidRPr="00964D56" w:rsidRDefault="008A011B" w:rsidP="00026737">
      <w:pPr>
        <w:pStyle w:val="ListParagraph"/>
        <w:numPr>
          <w:ilvl w:val="0"/>
          <w:numId w:val="43"/>
        </w:numPr>
        <w:tabs>
          <w:tab w:val="left" w:pos="851"/>
          <w:tab w:val="left" w:pos="1418"/>
        </w:tabs>
        <w:spacing w:after="0"/>
        <w:rPr>
          <w:rFonts w:eastAsia="Times New Roman" w:cs="Arial"/>
          <w:b/>
          <w:lang w:eastAsia="en-GB"/>
        </w:rPr>
      </w:pPr>
      <w:r>
        <w:rPr>
          <w:rFonts w:eastAsia="Times New Roman" w:cs="Arial"/>
          <w:lang w:eastAsia="en-GB"/>
        </w:rPr>
        <w:t xml:space="preserve">Waste Services – </w:t>
      </w:r>
      <w:r w:rsidRPr="00964D56">
        <w:rPr>
          <w:rFonts w:eastAsia="Times New Roman" w:cs="Arial"/>
          <w:b/>
          <w:lang w:eastAsia="en-GB"/>
        </w:rPr>
        <w:t>£3.151m underspend</w:t>
      </w:r>
      <w:r>
        <w:rPr>
          <w:rFonts w:eastAsia="Times New Roman" w:cs="Arial"/>
          <w:lang w:eastAsia="en-GB"/>
        </w:rPr>
        <w:t xml:space="preserve"> (due to a combination of factors including reduced waste arisings, reduced operating costs and additional income)</w:t>
      </w:r>
    </w:p>
    <w:p w:rsidR="00026737" w:rsidRPr="00964D56" w:rsidRDefault="00A953D6" w:rsidP="00026737">
      <w:pPr>
        <w:tabs>
          <w:tab w:val="left" w:pos="851"/>
          <w:tab w:val="left" w:pos="1418"/>
        </w:tabs>
        <w:spacing w:after="0"/>
        <w:rPr>
          <w:rFonts w:eastAsia="Times New Roman" w:cs="Arial"/>
          <w:b/>
          <w:lang w:eastAsia="en-GB"/>
        </w:rPr>
      </w:pPr>
    </w:p>
    <w:p w:rsidR="00026737" w:rsidRPr="00964D56" w:rsidRDefault="008A011B" w:rsidP="00026737">
      <w:pPr>
        <w:pStyle w:val="ListParagraph"/>
        <w:numPr>
          <w:ilvl w:val="0"/>
          <w:numId w:val="43"/>
        </w:numPr>
        <w:tabs>
          <w:tab w:val="left" w:pos="851"/>
          <w:tab w:val="left" w:pos="1418"/>
        </w:tabs>
        <w:spacing w:after="0"/>
        <w:rPr>
          <w:rFonts w:eastAsia="Times New Roman" w:cs="Arial"/>
          <w:b/>
          <w:lang w:eastAsia="en-GB"/>
        </w:rPr>
      </w:pPr>
      <w:r>
        <w:rPr>
          <w:rFonts w:eastAsia="Times New Roman" w:cs="Arial"/>
          <w:lang w:eastAsia="en-GB"/>
        </w:rPr>
        <w:t xml:space="preserve">Children and Family Wellbeing Service – </w:t>
      </w:r>
      <w:r w:rsidRPr="00964D56">
        <w:rPr>
          <w:rFonts w:eastAsia="Times New Roman" w:cs="Arial"/>
          <w:b/>
          <w:lang w:eastAsia="en-GB"/>
        </w:rPr>
        <w:t>£3.786m underspend</w:t>
      </w:r>
      <w:r>
        <w:rPr>
          <w:rFonts w:eastAsia="Times New Roman" w:cs="Arial"/>
          <w:lang w:eastAsia="en-GB"/>
        </w:rPr>
        <w:t xml:space="preserve"> (as a result of staff vacancies)</w:t>
      </w:r>
    </w:p>
    <w:p w:rsidR="00026737" w:rsidRPr="00964D56" w:rsidRDefault="00A953D6" w:rsidP="00026737">
      <w:pPr>
        <w:tabs>
          <w:tab w:val="left" w:pos="851"/>
          <w:tab w:val="left" w:pos="1418"/>
        </w:tabs>
        <w:spacing w:after="0"/>
        <w:rPr>
          <w:rFonts w:eastAsia="Times New Roman" w:cs="Arial"/>
          <w:b/>
          <w:lang w:eastAsia="en-GB"/>
        </w:rPr>
      </w:pPr>
    </w:p>
    <w:p w:rsidR="00026737" w:rsidRDefault="008A011B" w:rsidP="00026737">
      <w:pPr>
        <w:pStyle w:val="ListParagraph"/>
        <w:numPr>
          <w:ilvl w:val="0"/>
          <w:numId w:val="43"/>
        </w:numPr>
        <w:tabs>
          <w:tab w:val="left" w:pos="851"/>
          <w:tab w:val="left" w:pos="1418"/>
        </w:tabs>
        <w:spacing w:after="0"/>
        <w:rPr>
          <w:rFonts w:eastAsia="Times New Roman" w:cs="Arial"/>
          <w:lang w:eastAsia="en-GB"/>
        </w:rPr>
      </w:pPr>
      <w:r w:rsidRPr="00CF5510">
        <w:rPr>
          <w:rFonts w:eastAsia="Times New Roman" w:cs="Arial"/>
          <w:lang w:eastAsia="en-GB"/>
        </w:rPr>
        <w:t xml:space="preserve">Treasury Management - </w:t>
      </w:r>
      <w:r w:rsidRPr="00CF5510">
        <w:rPr>
          <w:rFonts w:eastAsia="Times New Roman" w:cs="Arial"/>
          <w:b/>
          <w:lang w:eastAsia="en-GB"/>
        </w:rPr>
        <w:t>£8.858m underspend</w:t>
      </w:r>
      <w:r w:rsidRPr="00CF5510">
        <w:rPr>
          <w:rFonts w:eastAsia="Times New Roman" w:cs="Arial"/>
          <w:lang w:eastAsia="en-GB"/>
        </w:rPr>
        <w:t xml:space="preserve"> – (principally due to the sale of bonds</w:t>
      </w:r>
      <w:r>
        <w:rPr>
          <w:rFonts w:eastAsia="Times New Roman" w:cs="Arial"/>
          <w:lang w:eastAsia="en-GB"/>
        </w:rPr>
        <w:t xml:space="preserve"> and also reduced borrowing costs</w:t>
      </w:r>
      <w:r w:rsidRPr="00CF5510">
        <w:rPr>
          <w:rFonts w:eastAsia="Times New Roman" w:cs="Arial"/>
          <w:lang w:eastAsia="en-GB"/>
        </w:rPr>
        <w:t xml:space="preserve">) </w:t>
      </w:r>
    </w:p>
    <w:p w:rsidR="00026737" w:rsidRPr="00CF5510" w:rsidRDefault="00A953D6" w:rsidP="00026737">
      <w:pPr>
        <w:tabs>
          <w:tab w:val="left" w:pos="851"/>
          <w:tab w:val="left" w:pos="1418"/>
        </w:tabs>
        <w:spacing w:after="0"/>
        <w:rPr>
          <w:rFonts w:eastAsia="Times New Roman" w:cs="Arial"/>
          <w:lang w:eastAsia="en-GB"/>
        </w:rPr>
      </w:pPr>
    </w:p>
    <w:p w:rsidR="00026737" w:rsidRPr="00F6184B" w:rsidRDefault="008A011B" w:rsidP="00026737">
      <w:pPr>
        <w:pStyle w:val="ListParagraph"/>
        <w:numPr>
          <w:ilvl w:val="0"/>
          <w:numId w:val="43"/>
        </w:numPr>
        <w:tabs>
          <w:tab w:val="left" w:pos="851"/>
          <w:tab w:val="left" w:pos="1418"/>
        </w:tabs>
        <w:spacing w:after="0"/>
        <w:rPr>
          <w:rFonts w:eastAsia="Times New Roman" w:cs="Arial"/>
          <w:lang w:eastAsia="en-GB"/>
        </w:rPr>
      </w:pPr>
      <w:r>
        <w:rPr>
          <w:rFonts w:eastAsia="Times New Roman" w:cs="Arial"/>
          <w:lang w:eastAsia="en-GB"/>
        </w:rPr>
        <w:t xml:space="preserve">Pension Liabilities - </w:t>
      </w:r>
      <w:r w:rsidRPr="00964D56">
        <w:rPr>
          <w:rFonts w:eastAsia="Times New Roman" w:cs="Arial"/>
          <w:b/>
          <w:lang w:eastAsia="en-GB"/>
        </w:rPr>
        <w:t>£3.101m underspend</w:t>
      </w:r>
      <w:r>
        <w:rPr>
          <w:rFonts w:eastAsia="Times New Roman" w:cs="Arial"/>
          <w:lang w:eastAsia="en-GB"/>
        </w:rPr>
        <w:t xml:space="preserve"> – (due to savings made from advanced contributions)</w:t>
      </w:r>
    </w:p>
    <w:p w:rsidR="00026737" w:rsidRPr="00F6184B" w:rsidRDefault="00A953D6" w:rsidP="00026737">
      <w:pPr>
        <w:pStyle w:val="ListParagraph"/>
        <w:tabs>
          <w:tab w:val="left" w:pos="851"/>
          <w:tab w:val="left" w:pos="1418"/>
        </w:tabs>
        <w:spacing w:after="0"/>
        <w:rPr>
          <w:rFonts w:eastAsia="Times New Roman" w:cs="Arial"/>
          <w:b/>
          <w:lang w:eastAsia="en-GB"/>
        </w:rPr>
      </w:pPr>
    </w:p>
    <w:p w:rsidR="00026737" w:rsidRPr="00964D56" w:rsidRDefault="008A011B" w:rsidP="00026737">
      <w:pPr>
        <w:pStyle w:val="ListParagraph"/>
        <w:numPr>
          <w:ilvl w:val="0"/>
          <w:numId w:val="43"/>
        </w:numPr>
        <w:tabs>
          <w:tab w:val="left" w:pos="851"/>
          <w:tab w:val="left" w:pos="1418"/>
        </w:tabs>
        <w:spacing w:after="0"/>
        <w:rPr>
          <w:rFonts w:eastAsia="Times New Roman" w:cs="Arial"/>
          <w:b/>
          <w:lang w:eastAsia="en-GB"/>
        </w:rPr>
      </w:pPr>
      <w:r>
        <w:rPr>
          <w:rFonts w:eastAsia="Times New Roman" w:cs="Arial"/>
          <w:lang w:eastAsia="en-GB"/>
        </w:rPr>
        <w:t xml:space="preserve">The remaining underspend of £3.259m was made across a number of services across the County Council, with staff vacancies being the main reason for variances. </w:t>
      </w:r>
    </w:p>
    <w:p w:rsidR="00026737" w:rsidRDefault="00A953D6" w:rsidP="00026737">
      <w:pPr>
        <w:tabs>
          <w:tab w:val="left" w:pos="851"/>
          <w:tab w:val="left" w:pos="1418"/>
        </w:tabs>
        <w:spacing w:after="0"/>
        <w:rPr>
          <w:rFonts w:eastAsia="Times New Roman" w:cs="Arial"/>
          <w:b/>
          <w:lang w:eastAsia="en-GB"/>
        </w:rPr>
      </w:pPr>
    </w:p>
    <w:p w:rsidR="00026737" w:rsidRDefault="008A011B" w:rsidP="00026737">
      <w:pPr>
        <w:tabs>
          <w:tab w:val="left" w:pos="851"/>
          <w:tab w:val="left" w:pos="1418"/>
        </w:tabs>
        <w:spacing w:after="0"/>
        <w:rPr>
          <w:rFonts w:eastAsia="Times New Roman" w:cs="Arial"/>
          <w:i/>
          <w:u w:val="single"/>
          <w:lang w:eastAsia="en-GB"/>
        </w:rPr>
      </w:pPr>
      <w:r>
        <w:rPr>
          <w:rFonts w:eastAsia="Times New Roman" w:cs="Arial"/>
          <w:i/>
          <w:u w:val="single"/>
          <w:lang w:eastAsia="en-GB"/>
        </w:rPr>
        <w:t>2017/18 Revenue Reserves</w:t>
      </w:r>
    </w:p>
    <w:p w:rsidR="00026737" w:rsidRDefault="00A953D6" w:rsidP="00026737">
      <w:pPr>
        <w:tabs>
          <w:tab w:val="left" w:pos="851"/>
          <w:tab w:val="left" w:pos="1418"/>
        </w:tabs>
        <w:spacing w:after="0"/>
        <w:rPr>
          <w:rFonts w:eastAsia="Times New Roman" w:cs="Arial"/>
          <w:i/>
          <w:u w:val="single"/>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In the report</w:t>
      </w:r>
      <w:r w:rsidR="00783FB0">
        <w:rPr>
          <w:rFonts w:eastAsia="Times New Roman" w:cs="Arial"/>
          <w:lang w:eastAsia="en-GB"/>
        </w:rPr>
        <w:t xml:space="preserve"> to</w:t>
      </w:r>
      <w:r>
        <w:rPr>
          <w:rFonts w:eastAsia="Times New Roman" w:cs="Arial"/>
          <w:lang w:eastAsia="en-GB"/>
        </w:rPr>
        <w:t xml:space="preserve"> Full Council in February 2018 details were provided of the reserves position and the ability to support the revenue budget in future years whilst working towards achieving a sustainable financial position. This indicated that there would be sufficient funds remaining in reserves to support the 2018/19 and 2019/20 budgets, but there would be only £20.165m available to support the £118.138m financial gap in 2020/21, should the entire £68.410m forecast 2019/20 funding gap be fully covered from reserves.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i/>
          <w:u w:val="single"/>
          <w:lang w:eastAsia="en-GB"/>
        </w:rPr>
      </w:pPr>
      <w:r>
        <w:rPr>
          <w:rFonts w:eastAsia="Times New Roman" w:cs="Arial"/>
          <w:lang w:eastAsia="en-GB"/>
        </w:rPr>
        <w:lastRenderedPageBreak/>
        <w:t>A combination of the revenue underspend, a reduced need to draw down from reserves and also some new and significant contributions to reserves (e.g. Council Tax Collection Fund surplus) has led to the overall reserves position having improved. If the £68.410m forecast 2019/20 funding gap be fully covered from reserves this means that the</w:t>
      </w:r>
      <w:r w:rsidR="00A953D6">
        <w:rPr>
          <w:rFonts w:eastAsia="Times New Roman" w:cs="Arial"/>
          <w:lang w:eastAsia="en-GB"/>
        </w:rPr>
        <w:t>re is now forecast to be £32.296</w:t>
      </w:r>
      <w:r>
        <w:rPr>
          <w:rFonts w:eastAsia="Times New Roman" w:cs="Arial"/>
          <w:lang w:eastAsia="en-GB"/>
        </w:rPr>
        <w:t xml:space="preserve">m to support the financial gap in 2020/21. It must be noted that this is still insufficient to cover the forecast gap in 2020/21 and additional savings must be identified to be able to achieve a financially sustainable </w:t>
      </w:r>
      <w:r w:rsidR="00783FB0">
        <w:rPr>
          <w:rFonts w:eastAsia="Times New Roman" w:cs="Arial"/>
          <w:lang w:eastAsia="en-GB"/>
        </w:rPr>
        <w:t xml:space="preserve">budget </w:t>
      </w:r>
      <w:r>
        <w:rPr>
          <w:rFonts w:eastAsia="Times New Roman" w:cs="Arial"/>
          <w:lang w:eastAsia="en-GB"/>
        </w:rPr>
        <w:t xml:space="preserve">in future years. </w:t>
      </w:r>
      <w:r>
        <w:rPr>
          <w:rFonts w:eastAsia="Times New Roman" w:cs="Arial"/>
          <w:i/>
          <w:u w:val="single"/>
          <w:lang w:eastAsia="en-GB"/>
        </w:rPr>
        <w:t xml:space="preserve"> </w:t>
      </w:r>
    </w:p>
    <w:p w:rsidR="00026737" w:rsidRDefault="00A953D6" w:rsidP="00026737">
      <w:pPr>
        <w:tabs>
          <w:tab w:val="left" w:pos="851"/>
          <w:tab w:val="left" w:pos="1418"/>
        </w:tabs>
        <w:spacing w:after="0"/>
        <w:rPr>
          <w:rFonts w:eastAsia="Times New Roman" w:cs="Arial"/>
          <w:i/>
          <w:u w:val="single"/>
          <w:lang w:eastAsia="en-GB"/>
        </w:rPr>
      </w:pPr>
    </w:p>
    <w:p w:rsidR="00026737" w:rsidRPr="000A5C37" w:rsidRDefault="008A011B" w:rsidP="00026737">
      <w:pPr>
        <w:tabs>
          <w:tab w:val="left" w:pos="851"/>
          <w:tab w:val="left" w:pos="1418"/>
        </w:tabs>
        <w:spacing w:after="0"/>
        <w:rPr>
          <w:rFonts w:eastAsia="Times New Roman" w:cs="Arial"/>
          <w:lang w:eastAsia="en-GB"/>
        </w:rPr>
      </w:pPr>
      <w:r>
        <w:rPr>
          <w:rFonts w:eastAsia="Times New Roman" w:cs="Arial"/>
          <w:lang w:eastAsia="en-GB"/>
        </w:rPr>
        <w:t>In light of the position outline</w:t>
      </w:r>
      <w:r w:rsidR="00783FB0">
        <w:rPr>
          <w:rFonts w:eastAsia="Times New Roman" w:cs="Arial"/>
          <w:lang w:eastAsia="en-GB"/>
        </w:rPr>
        <w:t>d</w:t>
      </w:r>
      <w:r>
        <w:rPr>
          <w:rFonts w:eastAsia="Times New Roman" w:cs="Arial"/>
          <w:lang w:eastAsia="en-GB"/>
        </w:rPr>
        <w:t xml:space="preserve"> above work is progressing to identify additional savings aimed at reducing the reserves requirement in 2019/20 and beyond with the aim of achieving a financially sustainable position that is not reliant upon reserve funding. </w:t>
      </w:r>
    </w:p>
    <w:p w:rsidR="00026737" w:rsidRDefault="00A953D6" w:rsidP="00026737">
      <w:pPr>
        <w:tabs>
          <w:tab w:val="left" w:pos="851"/>
          <w:tab w:val="left" w:pos="1418"/>
        </w:tabs>
        <w:spacing w:after="0"/>
        <w:rPr>
          <w:rFonts w:eastAsia="Times New Roman" w:cs="Arial"/>
          <w:b/>
          <w:lang w:eastAsia="en-GB"/>
        </w:rPr>
      </w:pPr>
    </w:p>
    <w:p w:rsidR="00026737" w:rsidRDefault="008A011B" w:rsidP="00026737">
      <w:pPr>
        <w:tabs>
          <w:tab w:val="left" w:pos="851"/>
          <w:tab w:val="left" w:pos="1418"/>
        </w:tabs>
        <w:spacing w:after="0"/>
        <w:rPr>
          <w:rFonts w:eastAsia="Times New Roman" w:cs="Arial"/>
          <w:i/>
          <w:u w:val="single"/>
          <w:lang w:eastAsia="en-GB"/>
        </w:rPr>
      </w:pPr>
      <w:r>
        <w:rPr>
          <w:rFonts w:eastAsia="Times New Roman" w:cs="Arial"/>
          <w:i/>
          <w:u w:val="single"/>
          <w:lang w:eastAsia="en-GB"/>
        </w:rPr>
        <w:t>2017/18 Capital Programme</w:t>
      </w:r>
    </w:p>
    <w:p w:rsidR="00026737" w:rsidRDefault="00A953D6" w:rsidP="00026737">
      <w:pPr>
        <w:tabs>
          <w:tab w:val="left" w:pos="851"/>
          <w:tab w:val="left" w:pos="1418"/>
        </w:tabs>
        <w:spacing w:after="0"/>
        <w:rPr>
          <w:rFonts w:eastAsia="Times New Roman" w:cs="Arial"/>
          <w:i/>
          <w:u w:val="single"/>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 xml:space="preserve">The capital programme for 2017/18 totalled £171.908m with the programme delivering an outturn position of £121.434m, therefore resulting in a variance to budget of £50.474m.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lang w:eastAsia="en-GB"/>
        </w:rPr>
      </w:pPr>
      <w:r>
        <w:rPr>
          <w:rFonts w:eastAsia="Times New Roman" w:cs="Arial"/>
          <w:lang w:eastAsia="en-GB"/>
        </w:rPr>
        <w:t>T</w:t>
      </w:r>
      <w:r w:rsidRPr="00E04076">
        <w:rPr>
          <w:rFonts w:eastAsia="Times New Roman" w:cs="Arial"/>
          <w:lang w:eastAsia="en-GB"/>
        </w:rPr>
        <w:t xml:space="preserve">he </w:t>
      </w:r>
      <w:r>
        <w:rPr>
          <w:rFonts w:eastAsia="Times New Roman" w:cs="Arial"/>
          <w:lang w:eastAsia="en-GB"/>
        </w:rPr>
        <w:t xml:space="preserve">variance of </w:t>
      </w:r>
      <w:r w:rsidRPr="00E04076">
        <w:rPr>
          <w:rFonts w:eastAsia="Times New Roman" w:cs="Arial"/>
          <w:lang w:eastAsia="en-GB"/>
        </w:rPr>
        <w:t xml:space="preserve">£50.474m </w:t>
      </w:r>
      <w:r>
        <w:rPr>
          <w:rFonts w:eastAsia="Times New Roman" w:cs="Arial"/>
          <w:lang w:eastAsia="en-GB"/>
        </w:rPr>
        <w:t>is due to the following:</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pStyle w:val="ListParagraph"/>
        <w:numPr>
          <w:ilvl w:val="0"/>
          <w:numId w:val="44"/>
        </w:numPr>
        <w:tabs>
          <w:tab w:val="left" w:pos="851"/>
          <w:tab w:val="left" w:pos="1418"/>
        </w:tabs>
        <w:spacing w:after="0"/>
        <w:rPr>
          <w:rFonts w:eastAsia="Times New Roman" w:cs="Arial"/>
          <w:lang w:eastAsia="en-GB"/>
        </w:rPr>
      </w:pPr>
      <w:r>
        <w:rPr>
          <w:rFonts w:eastAsia="Times New Roman" w:cs="Arial"/>
          <w:lang w:eastAsia="en-GB"/>
        </w:rPr>
        <w:t>De</w:t>
      </w:r>
      <w:r w:rsidRPr="00E04076">
        <w:rPr>
          <w:rFonts w:eastAsia="Times New Roman" w:cs="Arial"/>
          <w:lang w:eastAsia="en-GB"/>
        </w:rPr>
        <w:t xml:space="preserve">cision to capitalise items </w:t>
      </w:r>
      <w:r w:rsidRPr="00317DEE">
        <w:rPr>
          <w:rFonts w:eastAsia="Times New Roman" w:cs="Arial"/>
          <w:lang w:eastAsia="en-GB"/>
        </w:rPr>
        <w:t>previously charged to</w:t>
      </w:r>
      <w:r w:rsidRPr="00E04076">
        <w:rPr>
          <w:rFonts w:eastAsia="Times New Roman" w:cs="Arial"/>
          <w:lang w:eastAsia="en-GB"/>
        </w:rPr>
        <w:t xml:space="preserve"> the revenue budget</w:t>
      </w:r>
      <w:r>
        <w:rPr>
          <w:rFonts w:eastAsia="Times New Roman" w:cs="Arial"/>
          <w:lang w:eastAsia="en-GB"/>
        </w:rPr>
        <w:t xml:space="preserve"> – £6.673m (additional cost)</w:t>
      </w:r>
    </w:p>
    <w:p w:rsidR="00026737" w:rsidRDefault="008A011B" w:rsidP="00026737">
      <w:pPr>
        <w:pStyle w:val="ListParagraph"/>
        <w:numPr>
          <w:ilvl w:val="0"/>
          <w:numId w:val="44"/>
        </w:numPr>
        <w:tabs>
          <w:tab w:val="left" w:pos="851"/>
          <w:tab w:val="left" w:pos="1418"/>
        </w:tabs>
        <w:spacing w:after="0"/>
        <w:rPr>
          <w:rFonts w:eastAsia="Times New Roman" w:cs="Arial"/>
          <w:lang w:eastAsia="en-GB"/>
        </w:rPr>
      </w:pPr>
      <w:r>
        <w:rPr>
          <w:rFonts w:eastAsia="Times New Roman" w:cs="Arial"/>
          <w:lang w:eastAsia="en-GB"/>
        </w:rPr>
        <w:t>N</w:t>
      </w:r>
      <w:r w:rsidRPr="00E04076">
        <w:rPr>
          <w:rFonts w:eastAsia="Times New Roman" w:cs="Arial"/>
          <w:lang w:eastAsia="en-GB"/>
        </w:rPr>
        <w:t xml:space="preserve">et underspends on completed projects </w:t>
      </w:r>
      <w:r>
        <w:rPr>
          <w:rFonts w:eastAsia="Times New Roman" w:cs="Arial"/>
          <w:lang w:eastAsia="en-GB"/>
        </w:rPr>
        <w:t>- £4.130m (</w:t>
      </w:r>
      <w:r w:rsidRPr="00E04076">
        <w:rPr>
          <w:rFonts w:eastAsia="Times New Roman" w:cs="Arial"/>
          <w:lang w:eastAsia="en-GB"/>
        </w:rPr>
        <w:t>7.23%</w:t>
      </w:r>
      <w:r>
        <w:rPr>
          <w:rFonts w:eastAsia="Times New Roman" w:cs="Arial"/>
          <w:lang w:eastAsia="en-GB"/>
        </w:rPr>
        <w:t>)</w:t>
      </w:r>
    </w:p>
    <w:p w:rsidR="00026737" w:rsidRDefault="008A011B" w:rsidP="00026737">
      <w:pPr>
        <w:pStyle w:val="ListParagraph"/>
        <w:numPr>
          <w:ilvl w:val="0"/>
          <w:numId w:val="44"/>
        </w:numPr>
        <w:tabs>
          <w:tab w:val="left" w:pos="851"/>
          <w:tab w:val="left" w:pos="1418"/>
        </w:tabs>
        <w:spacing w:after="0"/>
        <w:rPr>
          <w:rFonts w:eastAsia="Times New Roman" w:cs="Arial"/>
          <w:lang w:eastAsia="en-GB"/>
        </w:rPr>
      </w:pPr>
      <w:r>
        <w:rPr>
          <w:rFonts w:eastAsia="Times New Roman" w:cs="Arial"/>
          <w:lang w:eastAsia="en-GB"/>
        </w:rPr>
        <w:t>Delivery delays and advance delivery (net position) - £42.934m (</w:t>
      </w:r>
      <w:r w:rsidRPr="00E04076">
        <w:rPr>
          <w:rFonts w:eastAsia="Times New Roman" w:cs="Arial"/>
          <w:lang w:eastAsia="en-GB"/>
        </w:rPr>
        <w:t>75.1%</w:t>
      </w:r>
      <w:r>
        <w:rPr>
          <w:rFonts w:eastAsia="Times New Roman" w:cs="Arial"/>
          <w:lang w:eastAsia="en-GB"/>
        </w:rPr>
        <w:t>)</w:t>
      </w:r>
      <w:r w:rsidRPr="00E04076">
        <w:rPr>
          <w:rFonts w:eastAsia="Times New Roman" w:cs="Arial"/>
          <w:lang w:eastAsia="en-GB"/>
        </w:rPr>
        <w:t xml:space="preserve"> </w:t>
      </w:r>
    </w:p>
    <w:p w:rsidR="00026737" w:rsidRDefault="008A011B" w:rsidP="00026737">
      <w:pPr>
        <w:pStyle w:val="ListParagraph"/>
        <w:numPr>
          <w:ilvl w:val="0"/>
          <w:numId w:val="44"/>
        </w:numPr>
        <w:tabs>
          <w:tab w:val="left" w:pos="851"/>
          <w:tab w:val="left" w:pos="1418"/>
        </w:tabs>
        <w:spacing w:after="0"/>
        <w:rPr>
          <w:rFonts w:eastAsia="Times New Roman" w:cs="Arial"/>
          <w:lang w:eastAsia="en-GB"/>
        </w:rPr>
      </w:pPr>
      <w:r>
        <w:rPr>
          <w:rFonts w:eastAsia="Times New Roman" w:cs="Arial"/>
          <w:lang w:eastAsia="en-GB"/>
        </w:rPr>
        <w:t>Not allocated to projects to be delivered – £10.083m (</w:t>
      </w:r>
      <w:r w:rsidRPr="00E04076">
        <w:rPr>
          <w:rFonts w:eastAsia="Times New Roman" w:cs="Arial"/>
          <w:lang w:eastAsia="en-GB"/>
        </w:rPr>
        <w:t>17.6</w:t>
      </w:r>
      <w:r>
        <w:rPr>
          <w:rFonts w:eastAsia="Times New Roman" w:cs="Arial"/>
          <w:lang w:eastAsia="en-GB"/>
        </w:rPr>
        <w:t>%)</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tabs>
          <w:tab w:val="left" w:pos="851"/>
          <w:tab w:val="left" w:pos="1418"/>
        </w:tabs>
        <w:spacing w:after="0"/>
        <w:rPr>
          <w:rFonts w:eastAsia="Times New Roman" w:cs="Arial"/>
          <w:lang w:eastAsia="en-GB"/>
        </w:rPr>
      </w:pPr>
      <w:r w:rsidRPr="00317DEE">
        <w:rPr>
          <w:rFonts w:eastAsia="Times New Roman" w:cs="Arial"/>
          <w:lang w:eastAsia="en-GB"/>
        </w:rPr>
        <w:t>The slipped delivery is a mixture of financial delays eg. for retention amounts, but where the project is complete; delays</w:t>
      </w:r>
      <w:r>
        <w:rPr>
          <w:rFonts w:eastAsia="Times New Roman" w:cs="Arial"/>
          <w:lang w:eastAsia="en-GB"/>
        </w:rPr>
        <w:t xml:space="preserve"> due to changes to the work programmed and delays due to adverse weather which delayed completion or commencement of projects. </w:t>
      </w:r>
      <w:r w:rsidRPr="00E04076">
        <w:rPr>
          <w:rFonts w:eastAsia="Times New Roman" w:cs="Arial"/>
          <w:lang w:eastAsia="en-GB"/>
        </w:rPr>
        <w:t xml:space="preserve"> </w:t>
      </w:r>
    </w:p>
    <w:p w:rsidR="00026737" w:rsidRDefault="00A953D6" w:rsidP="00026737">
      <w:pPr>
        <w:tabs>
          <w:tab w:val="left" w:pos="851"/>
          <w:tab w:val="left" w:pos="1418"/>
        </w:tabs>
        <w:spacing w:after="0"/>
        <w:rPr>
          <w:rFonts w:eastAsia="Times New Roman" w:cs="Arial"/>
          <w:lang w:eastAsia="en-GB"/>
        </w:rPr>
      </w:pPr>
    </w:p>
    <w:p w:rsidR="00026737" w:rsidRDefault="008A011B" w:rsidP="00026737">
      <w:pPr>
        <w:spacing w:after="0"/>
        <w:rPr>
          <w:rFonts w:eastAsia="Times New Roman" w:cs="Arial"/>
          <w:lang w:eastAsia="en-GB"/>
        </w:rPr>
      </w:pPr>
      <w:r>
        <w:rPr>
          <w:rFonts w:eastAsia="Times New Roman" w:cs="Arial"/>
          <w:lang w:eastAsia="en-GB"/>
        </w:rPr>
        <w:t xml:space="preserve">During the first 3 months of 2018/19 a comprehensive review of the delivery programme for 2018/19 will be undertaken by </w:t>
      </w:r>
      <w:r w:rsidR="00783FB0">
        <w:rPr>
          <w:rFonts w:eastAsia="Times New Roman" w:cs="Arial"/>
          <w:lang w:eastAsia="en-GB"/>
        </w:rPr>
        <w:t xml:space="preserve">the </w:t>
      </w:r>
      <w:r>
        <w:rPr>
          <w:rFonts w:eastAsia="Times New Roman" w:cs="Arial"/>
          <w:lang w:eastAsia="en-GB"/>
        </w:rPr>
        <w:t>Capital Board.  The work undertaken will be as follows:</w:t>
      </w:r>
    </w:p>
    <w:p w:rsidR="00026737" w:rsidRDefault="00A953D6" w:rsidP="00026737">
      <w:pPr>
        <w:spacing w:after="0"/>
        <w:rPr>
          <w:rFonts w:eastAsia="Times New Roman" w:cs="Arial"/>
          <w:lang w:eastAsia="en-GB"/>
        </w:rPr>
      </w:pPr>
    </w:p>
    <w:p w:rsidR="00026737" w:rsidRDefault="008A011B" w:rsidP="00026737">
      <w:pPr>
        <w:pStyle w:val="ListParagraph"/>
        <w:numPr>
          <w:ilvl w:val="0"/>
          <w:numId w:val="41"/>
        </w:numPr>
        <w:spacing w:after="0"/>
        <w:rPr>
          <w:rFonts w:eastAsia="Times New Roman" w:cs="Arial"/>
          <w:lang w:eastAsia="en-GB"/>
        </w:rPr>
      </w:pPr>
      <w:r>
        <w:rPr>
          <w:rFonts w:eastAsia="Times New Roman" w:cs="Arial"/>
          <w:lang w:eastAsia="en-GB"/>
        </w:rPr>
        <w:t xml:space="preserve">Updating the delivery programme for 2018/19 in light of the delivery performance in 2017/18. </w:t>
      </w:r>
    </w:p>
    <w:p w:rsidR="00026737" w:rsidRDefault="008A011B" w:rsidP="00026737">
      <w:pPr>
        <w:pStyle w:val="ListParagraph"/>
        <w:numPr>
          <w:ilvl w:val="0"/>
          <w:numId w:val="41"/>
        </w:numPr>
        <w:spacing w:after="0"/>
        <w:rPr>
          <w:rFonts w:eastAsia="Times New Roman" w:cs="Arial"/>
          <w:lang w:eastAsia="en-GB"/>
        </w:rPr>
      </w:pPr>
      <w:r>
        <w:rPr>
          <w:rFonts w:eastAsia="Times New Roman" w:cs="Arial"/>
          <w:lang w:eastAsia="en-GB"/>
        </w:rPr>
        <w:t xml:space="preserve">A review of the level of funding available for unallocated budgets and the requirement for these to be continued to be carried forward. </w:t>
      </w:r>
    </w:p>
    <w:p w:rsidR="00026737" w:rsidRDefault="008A011B" w:rsidP="00026737">
      <w:pPr>
        <w:pStyle w:val="ListParagraph"/>
        <w:numPr>
          <w:ilvl w:val="0"/>
          <w:numId w:val="41"/>
        </w:numPr>
        <w:spacing w:after="0"/>
        <w:rPr>
          <w:rFonts w:eastAsia="Times New Roman" w:cs="Arial"/>
          <w:lang w:eastAsia="en-GB"/>
        </w:rPr>
      </w:pPr>
      <w:r>
        <w:rPr>
          <w:rFonts w:eastAsia="Times New Roman" w:cs="Arial"/>
          <w:lang w:eastAsia="en-GB"/>
        </w:rPr>
        <w:t xml:space="preserve">Detailed monitoring of the delivery programme through 2018/19 to ensure slippage is reported in a timely manner and a robust level of challenge to both programme and portfolio managers by </w:t>
      </w:r>
      <w:r w:rsidR="00783FB0">
        <w:rPr>
          <w:rFonts w:eastAsia="Times New Roman" w:cs="Arial"/>
          <w:lang w:eastAsia="en-GB"/>
        </w:rPr>
        <w:t xml:space="preserve">the </w:t>
      </w:r>
      <w:r>
        <w:rPr>
          <w:rFonts w:eastAsia="Times New Roman" w:cs="Arial"/>
          <w:lang w:eastAsia="en-GB"/>
        </w:rPr>
        <w:t xml:space="preserve">Capital Board to ensure delivery remains on track through the year. </w:t>
      </w:r>
    </w:p>
    <w:p w:rsidR="00026737" w:rsidRPr="00227C8A" w:rsidRDefault="008A011B" w:rsidP="00026737">
      <w:pPr>
        <w:pStyle w:val="ListParagraph"/>
        <w:numPr>
          <w:ilvl w:val="0"/>
          <w:numId w:val="41"/>
        </w:numPr>
        <w:spacing w:after="0"/>
        <w:rPr>
          <w:rFonts w:eastAsia="Times New Roman" w:cs="Arial"/>
          <w:lang w:eastAsia="en-GB"/>
        </w:rPr>
      </w:pPr>
      <w:r>
        <w:rPr>
          <w:rFonts w:eastAsia="Times New Roman" w:cs="Arial"/>
          <w:lang w:eastAsia="en-GB"/>
        </w:rPr>
        <w:t xml:space="preserve">A suite of performance reports will be developed for the Capital Board to undertake this monitoring oversight and challenge.  </w:t>
      </w:r>
    </w:p>
    <w:p w:rsidR="00026737" w:rsidRPr="00E04076" w:rsidRDefault="00A953D6" w:rsidP="00026737">
      <w:pPr>
        <w:tabs>
          <w:tab w:val="left" w:pos="851"/>
          <w:tab w:val="left" w:pos="1418"/>
        </w:tabs>
        <w:spacing w:after="0"/>
        <w:rPr>
          <w:rFonts w:eastAsia="Times New Roman" w:cs="Arial"/>
          <w:lang w:eastAsia="en-GB"/>
        </w:rPr>
      </w:pPr>
    </w:p>
    <w:p w:rsidR="00026737" w:rsidRDefault="00A953D6" w:rsidP="00026737">
      <w:pPr>
        <w:tabs>
          <w:tab w:val="left" w:pos="851"/>
          <w:tab w:val="left" w:pos="1418"/>
        </w:tabs>
        <w:spacing w:after="0"/>
        <w:rPr>
          <w:rFonts w:eastAsia="Times New Roman" w:cs="Arial"/>
          <w:lang w:eastAsia="en-GB"/>
        </w:rPr>
      </w:pPr>
    </w:p>
    <w:p w:rsidR="00026737" w:rsidRDefault="00A953D6" w:rsidP="00026737">
      <w:pPr>
        <w:tabs>
          <w:tab w:val="left" w:pos="851"/>
          <w:tab w:val="left" w:pos="1418"/>
        </w:tabs>
        <w:spacing w:after="0"/>
        <w:rPr>
          <w:rFonts w:eastAsia="Times New Roman" w:cs="Arial"/>
          <w:lang w:eastAsia="en-GB"/>
        </w:rPr>
      </w:pPr>
    </w:p>
    <w:p w:rsidR="00026737" w:rsidRDefault="00A953D6" w:rsidP="00026737">
      <w:pPr>
        <w:tabs>
          <w:tab w:val="left" w:pos="851"/>
          <w:tab w:val="left" w:pos="1418"/>
        </w:tabs>
        <w:spacing w:after="0"/>
        <w:rPr>
          <w:rFonts w:eastAsia="Times New Roman" w:cs="Arial"/>
          <w:lang w:eastAsia="en-GB"/>
        </w:rPr>
      </w:pPr>
    </w:p>
    <w:p w:rsidR="00317DEE" w:rsidRDefault="00A953D6" w:rsidP="00026737">
      <w:pPr>
        <w:tabs>
          <w:tab w:val="left" w:pos="851"/>
          <w:tab w:val="left" w:pos="1418"/>
        </w:tabs>
        <w:spacing w:after="0"/>
        <w:rPr>
          <w:rFonts w:eastAsia="Times New Roman" w:cs="Arial"/>
          <w:lang w:eastAsia="en-GB"/>
        </w:rPr>
      </w:pPr>
    </w:p>
    <w:p w:rsidR="00B65939" w:rsidRDefault="00A953D6" w:rsidP="00026737">
      <w:pPr>
        <w:tabs>
          <w:tab w:val="left" w:pos="851"/>
          <w:tab w:val="left" w:pos="1418"/>
        </w:tabs>
        <w:spacing w:after="0"/>
        <w:rPr>
          <w:rFonts w:eastAsia="Times New Roman" w:cs="Arial"/>
          <w:lang w:eastAsia="en-GB"/>
        </w:rPr>
      </w:pPr>
    </w:p>
    <w:p w:rsidR="00026737" w:rsidRPr="00F870C5" w:rsidRDefault="008A011B" w:rsidP="00026737">
      <w:pPr>
        <w:tabs>
          <w:tab w:val="left" w:pos="851"/>
          <w:tab w:val="left" w:pos="1418"/>
        </w:tabs>
        <w:spacing w:after="0"/>
        <w:rPr>
          <w:rFonts w:eastAsia="Times New Roman" w:cs="Arial"/>
          <w:b/>
          <w:lang w:eastAsia="en-GB"/>
        </w:rPr>
      </w:pPr>
      <w:r w:rsidRPr="00F870C5">
        <w:rPr>
          <w:rFonts w:eastAsia="Times New Roman" w:cs="Arial"/>
          <w:b/>
          <w:lang w:eastAsia="en-GB"/>
        </w:rPr>
        <w:lastRenderedPageBreak/>
        <w:t>Section A - The 2017/18 Revenue Budget</w:t>
      </w:r>
    </w:p>
    <w:p w:rsidR="00026737" w:rsidRPr="00F870C5" w:rsidRDefault="00A953D6" w:rsidP="00026737">
      <w:pPr>
        <w:tabs>
          <w:tab w:val="left" w:pos="851"/>
          <w:tab w:val="left" w:pos="1418"/>
        </w:tabs>
        <w:spacing w:after="0"/>
        <w:rPr>
          <w:rFonts w:eastAsia="Times New Roman" w:cs="Arial"/>
          <w:b/>
          <w:u w:val="single"/>
          <w:lang w:eastAsia="en-GB"/>
        </w:rPr>
      </w:pPr>
    </w:p>
    <w:p w:rsidR="00026737" w:rsidRPr="00FB36C0" w:rsidRDefault="008A011B" w:rsidP="00026737">
      <w:pPr>
        <w:tabs>
          <w:tab w:val="left" w:pos="851"/>
          <w:tab w:val="left" w:pos="1418"/>
        </w:tabs>
        <w:spacing w:after="0"/>
        <w:rPr>
          <w:rFonts w:eastAsia="Times New Roman" w:cs="Arial"/>
          <w:b/>
          <w:lang w:eastAsia="en-GB"/>
        </w:rPr>
      </w:pPr>
      <w:r>
        <w:rPr>
          <w:rFonts w:eastAsia="Times New Roman" w:cs="Arial"/>
          <w:b/>
          <w:lang w:eastAsia="en-GB"/>
        </w:rPr>
        <w:t>1. Executive Summary</w:t>
      </w:r>
    </w:p>
    <w:p w:rsidR="00026737" w:rsidRPr="00FB36C0" w:rsidRDefault="00A953D6" w:rsidP="00026737">
      <w:pPr>
        <w:tabs>
          <w:tab w:val="left" w:pos="851"/>
          <w:tab w:val="left" w:pos="1418"/>
        </w:tabs>
        <w:spacing w:after="0"/>
        <w:rPr>
          <w:rFonts w:eastAsia="Times New Roman" w:cs="Arial"/>
          <w:lang w:eastAsia="en-GB"/>
        </w:rPr>
      </w:pPr>
    </w:p>
    <w:p w:rsidR="00026737" w:rsidRPr="00EE785E" w:rsidRDefault="008A011B" w:rsidP="00026737">
      <w:pPr>
        <w:tabs>
          <w:tab w:val="left" w:pos="851"/>
          <w:tab w:val="left" w:pos="1418"/>
        </w:tabs>
        <w:spacing w:after="0"/>
        <w:rPr>
          <w:rFonts w:eastAsia="Times New Roman" w:cs="Arial"/>
          <w:lang w:eastAsia="en-GB"/>
        </w:rPr>
      </w:pPr>
      <w:r w:rsidRPr="005E438B">
        <w:rPr>
          <w:rFonts w:eastAsia="Times New Roman" w:cs="Arial"/>
          <w:lang w:eastAsia="en-GB"/>
        </w:rPr>
        <w:t xml:space="preserve">This </w:t>
      </w:r>
      <w:r>
        <w:rPr>
          <w:rFonts w:eastAsia="Times New Roman" w:cs="Arial"/>
          <w:lang w:eastAsia="en-GB"/>
        </w:rPr>
        <w:t xml:space="preserve">section of the </w:t>
      </w:r>
      <w:r w:rsidRPr="005E438B">
        <w:rPr>
          <w:rFonts w:eastAsia="Times New Roman" w:cs="Arial"/>
          <w:lang w:eastAsia="en-GB"/>
        </w:rPr>
        <w:t xml:space="preserve">report provides an update for </w:t>
      </w:r>
      <w:r>
        <w:rPr>
          <w:rFonts w:eastAsia="Times New Roman" w:cs="Arial"/>
          <w:lang w:eastAsia="en-GB"/>
        </w:rPr>
        <w:t xml:space="preserve">Cabinet </w:t>
      </w:r>
      <w:r w:rsidRPr="005E438B">
        <w:rPr>
          <w:rFonts w:eastAsia="Times New Roman" w:cs="Arial"/>
          <w:lang w:eastAsia="en-GB"/>
        </w:rPr>
        <w:t>on the County Council's 201</w:t>
      </w:r>
      <w:r>
        <w:rPr>
          <w:rFonts w:eastAsia="Times New Roman" w:cs="Arial"/>
          <w:lang w:eastAsia="en-GB"/>
        </w:rPr>
        <w:t>7</w:t>
      </w:r>
      <w:r w:rsidRPr="005E438B">
        <w:rPr>
          <w:rFonts w:eastAsia="Times New Roman" w:cs="Arial"/>
          <w:lang w:eastAsia="en-GB"/>
        </w:rPr>
        <w:t>/1</w:t>
      </w:r>
      <w:r>
        <w:rPr>
          <w:rFonts w:eastAsia="Times New Roman" w:cs="Arial"/>
          <w:lang w:eastAsia="en-GB"/>
        </w:rPr>
        <w:t>8</w:t>
      </w:r>
      <w:r w:rsidRPr="005E438B">
        <w:rPr>
          <w:rFonts w:eastAsia="Times New Roman" w:cs="Arial"/>
          <w:lang w:eastAsia="en-GB"/>
        </w:rPr>
        <w:t xml:space="preserve"> revenue</w:t>
      </w:r>
      <w:r>
        <w:rPr>
          <w:rFonts w:eastAsia="Times New Roman" w:cs="Arial"/>
          <w:lang w:eastAsia="en-GB"/>
        </w:rPr>
        <w:t xml:space="preserve"> </w:t>
      </w:r>
      <w:r w:rsidRPr="005E438B">
        <w:rPr>
          <w:rFonts w:eastAsia="Times New Roman" w:cs="Arial"/>
          <w:lang w:eastAsia="en-GB"/>
        </w:rPr>
        <w:t>financial</w:t>
      </w:r>
      <w:r>
        <w:rPr>
          <w:rFonts w:eastAsia="Times New Roman" w:cs="Arial"/>
          <w:lang w:eastAsia="en-GB"/>
        </w:rPr>
        <w:t xml:space="preserve"> position and </w:t>
      </w:r>
      <w:r w:rsidRPr="00EE785E">
        <w:rPr>
          <w:rFonts w:eastAsia="Times New Roman" w:cs="Arial"/>
          <w:lang w:eastAsia="en-GB"/>
        </w:rPr>
        <w:t xml:space="preserve">contains a comparison to the previously reported financial position as at Quarter 3. </w:t>
      </w:r>
    </w:p>
    <w:p w:rsidR="00026737" w:rsidRPr="00EE785E" w:rsidRDefault="00A953D6" w:rsidP="00026737">
      <w:pPr>
        <w:tabs>
          <w:tab w:val="left" w:pos="851"/>
          <w:tab w:val="left" w:pos="1418"/>
        </w:tabs>
        <w:spacing w:after="0"/>
        <w:rPr>
          <w:rFonts w:eastAsia="Times New Roman" w:cs="Arial"/>
          <w:lang w:eastAsia="en-GB"/>
        </w:rPr>
      </w:pPr>
    </w:p>
    <w:p w:rsidR="00026737" w:rsidRPr="00EE785E" w:rsidRDefault="008A011B" w:rsidP="00026737">
      <w:pPr>
        <w:tabs>
          <w:tab w:val="left" w:pos="851"/>
          <w:tab w:val="left" w:pos="1418"/>
        </w:tabs>
        <w:spacing w:after="0"/>
        <w:rPr>
          <w:rFonts w:eastAsia="Times New Roman" w:cs="Arial"/>
          <w:lang w:eastAsia="en-GB"/>
        </w:rPr>
      </w:pPr>
      <w:r w:rsidRPr="00EE785E">
        <w:rPr>
          <w:rFonts w:eastAsia="Times New Roman" w:cs="Arial"/>
          <w:lang w:eastAsia="en-GB"/>
        </w:rPr>
        <w:t>The final position for the end of the year is net expenditure of £70</w:t>
      </w:r>
      <w:r>
        <w:rPr>
          <w:rFonts w:eastAsia="Times New Roman" w:cs="Arial"/>
          <w:lang w:eastAsia="en-GB"/>
        </w:rPr>
        <w:t>3.924</w:t>
      </w:r>
      <w:r w:rsidRPr="00EE785E">
        <w:rPr>
          <w:rFonts w:eastAsia="Times New Roman" w:cs="Arial"/>
          <w:lang w:eastAsia="en-GB"/>
        </w:rPr>
        <w:t>m, reflecting an in year underspend of £20.8</w:t>
      </w:r>
      <w:r>
        <w:rPr>
          <w:rFonts w:eastAsia="Times New Roman" w:cs="Arial"/>
          <w:lang w:eastAsia="en-GB"/>
        </w:rPr>
        <w:t>96</w:t>
      </w:r>
      <w:r w:rsidRPr="00EE785E">
        <w:rPr>
          <w:rFonts w:eastAsia="Times New Roman" w:cs="Arial"/>
          <w:lang w:eastAsia="en-GB"/>
        </w:rPr>
        <w:t xml:space="preserve">m which represents </w:t>
      </w:r>
      <w:r>
        <w:rPr>
          <w:rFonts w:eastAsia="Times New Roman" w:cs="Arial"/>
          <w:lang w:eastAsia="en-GB"/>
        </w:rPr>
        <w:t>2.88</w:t>
      </w:r>
      <w:r w:rsidRPr="00EE785E">
        <w:rPr>
          <w:rFonts w:eastAsia="Times New Roman" w:cs="Arial"/>
          <w:lang w:eastAsia="en-GB"/>
        </w:rPr>
        <w:t xml:space="preserve">% of the budget.  </w:t>
      </w:r>
    </w:p>
    <w:p w:rsidR="00026737" w:rsidRPr="001F29AA" w:rsidRDefault="00A953D6" w:rsidP="00026737">
      <w:pPr>
        <w:tabs>
          <w:tab w:val="left" w:pos="851"/>
          <w:tab w:val="left" w:pos="1418"/>
        </w:tabs>
        <w:spacing w:after="0"/>
      </w:pPr>
    </w:p>
    <w:p w:rsidR="00026737" w:rsidRDefault="008A011B" w:rsidP="00026737">
      <w:pPr>
        <w:tabs>
          <w:tab w:val="left" w:pos="851"/>
          <w:tab w:val="left" w:pos="1418"/>
        </w:tabs>
        <w:spacing w:after="0"/>
        <w:rPr>
          <w:rFonts w:eastAsia="Times New Roman" w:cs="Arial"/>
          <w:lang w:eastAsia="en-GB"/>
        </w:rPr>
      </w:pPr>
      <w:r w:rsidRPr="00E118FC">
        <w:t xml:space="preserve">The narrative provides details as to progress on the achievement and delivery of the savings relating to each Head of Service. </w:t>
      </w:r>
      <w:r>
        <w:rPr>
          <w:rFonts w:eastAsia="Times New Roman" w:cs="Arial"/>
          <w:lang w:eastAsia="en-GB"/>
        </w:rPr>
        <w:t xml:space="preserve">It is important to note that the revenue position includes </w:t>
      </w:r>
      <w:r w:rsidRPr="00317DEE">
        <w:rPr>
          <w:rFonts w:eastAsia="Times New Roman" w:cs="Arial"/>
          <w:lang w:eastAsia="en-GB"/>
        </w:rPr>
        <w:t>significant levels of support from</w:t>
      </w:r>
      <w:r>
        <w:rPr>
          <w:rFonts w:eastAsia="Times New Roman" w:cs="Arial"/>
          <w:lang w:eastAsia="en-GB"/>
        </w:rPr>
        <w:t xml:space="preserve"> reserves that have previously been agreed. </w:t>
      </w:r>
      <w:r w:rsidRPr="00F6184B">
        <w:rPr>
          <w:rFonts w:eastAsia="Times New Roman" w:cs="Arial"/>
          <w:b/>
          <w:lang w:eastAsia="en-GB"/>
        </w:rPr>
        <w:t>In 2017/18 the structural reserve funding totalled £58.890m</w:t>
      </w:r>
      <w:r>
        <w:rPr>
          <w:rFonts w:eastAsia="Times New Roman" w:cs="Arial"/>
          <w:b/>
          <w:lang w:eastAsia="en-GB"/>
        </w:rPr>
        <w:t>, primarily covering the funding gap, and</w:t>
      </w:r>
      <w:r w:rsidRPr="00F6184B">
        <w:rPr>
          <w:rFonts w:eastAsia="Times New Roman" w:cs="Arial"/>
          <w:b/>
          <w:lang w:eastAsia="en-GB"/>
        </w:rPr>
        <w:t xml:space="preserve"> if this</w:t>
      </w:r>
      <w:r>
        <w:rPr>
          <w:rFonts w:eastAsia="Times New Roman" w:cs="Arial"/>
          <w:b/>
          <w:lang w:eastAsia="en-GB"/>
        </w:rPr>
        <w:t xml:space="preserve"> support</w:t>
      </w:r>
      <w:r w:rsidRPr="00F6184B">
        <w:rPr>
          <w:rFonts w:eastAsia="Times New Roman" w:cs="Arial"/>
          <w:b/>
          <w:lang w:eastAsia="en-GB"/>
        </w:rPr>
        <w:t xml:space="preserve"> had</w:t>
      </w:r>
      <w:r>
        <w:rPr>
          <w:rFonts w:eastAsia="Times New Roman" w:cs="Arial"/>
          <w:b/>
          <w:lang w:eastAsia="en-GB"/>
        </w:rPr>
        <w:t xml:space="preserve"> not</w:t>
      </w:r>
      <w:r w:rsidRPr="00F6184B">
        <w:rPr>
          <w:rFonts w:eastAsia="Times New Roman" w:cs="Arial"/>
          <w:b/>
          <w:lang w:eastAsia="en-GB"/>
        </w:rPr>
        <w:t xml:space="preserve"> been </w:t>
      </w:r>
      <w:r>
        <w:rPr>
          <w:rFonts w:eastAsia="Times New Roman" w:cs="Arial"/>
          <w:b/>
          <w:lang w:eastAsia="en-GB"/>
        </w:rPr>
        <w:t xml:space="preserve">available then expenditure would have exceeded income </w:t>
      </w:r>
      <w:r w:rsidRPr="00317DEE">
        <w:rPr>
          <w:rFonts w:eastAsia="Times New Roman" w:cs="Arial"/>
          <w:b/>
          <w:lang w:eastAsia="en-GB"/>
        </w:rPr>
        <w:t>by £37.994m.</w:t>
      </w:r>
    </w:p>
    <w:p w:rsidR="00026737" w:rsidRPr="008B7B09" w:rsidRDefault="00A953D6" w:rsidP="00026737">
      <w:pPr>
        <w:tabs>
          <w:tab w:val="left" w:pos="851"/>
          <w:tab w:val="left" w:pos="1418"/>
        </w:tabs>
        <w:spacing w:after="0"/>
        <w:rPr>
          <w:highlight w:val="yellow"/>
        </w:rPr>
      </w:pPr>
    </w:p>
    <w:p w:rsidR="00026737" w:rsidRDefault="008A011B" w:rsidP="00026737">
      <w:pPr>
        <w:tabs>
          <w:tab w:val="left" w:pos="851"/>
          <w:tab w:val="left" w:pos="1418"/>
        </w:tabs>
        <w:spacing w:after="0"/>
      </w:pPr>
      <w:r>
        <w:t xml:space="preserve">Delivery of the </w:t>
      </w:r>
      <w:r w:rsidRPr="00A71407">
        <w:t xml:space="preserve">savings programme </w:t>
      </w:r>
      <w:r>
        <w:t xml:space="preserve">continues to be </w:t>
      </w:r>
      <w:r w:rsidRPr="00A71407">
        <w:t xml:space="preserve">a key risk area and the savings plans </w:t>
      </w:r>
      <w:r>
        <w:t xml:space="preserve">have been </w:t>
      </w:r>
      <w:r w:rsidRPr="00A71407">
        <w:t xml:space="preserve">subject to detailed </w:t>
      </w:r>
      <w:r>
        <w:t xml:space="preserve">and </w:t>
      </w:r>
      <w:r w:rsidRPr="00A71407">
        <w:t xml:space="preserve">regular scrutiny throughout </w:t>
      </w:r>
      <w:r>
        <w:t xml:space="preserve">2017/18 by the Programme Office and Finance and will continue to be in future financial years. </w:t>
      </w:r>
    </w:p>
    <w:p w:rsidR="00026737" w:rsidRDefault="008A011B">
      <w:pPr>
        <w:autoSpaceDE/>
        <w:autoSpaceDN/>
        <w:adjustRightInd/>
        <w:spacing w:after="0"/>
        <w:jc w:val="left"/>
      </w:pPr>
      <w:r>
        <w:br w:type="page"/>
      </w:r>
    </w:p>
    <w:p w:rsidR="00026737" w:rsidRPr="007C7D67" w:rsidRDefault="008A011B" w:rsidP="00026737">
      <w:pPr>
        <w:spacing w:after="0"/>
        <w:rPr>
          <w:b/>
        </w:rPr>
      </w:pPr>
      <w:r>
        <w:rPr>
          <w:b/>
        </w:rPr>
        <w:lastRenderedPageBreak/>
        <w:t>2. Revenue Budget Outturn 2017/18 Summary Table</w:t>
      </w:r>
    </w:p>
    <w:p w:rsidR="00026737" w:rsidRDefault="00A953D6" w:rsidP="00026737">
      <w:pPr>
        <w:spacing w:after="0"/>
        <w:rPr>
          <w:rFonts w:cs="Arial"/>
        </w:rPr>
      </w:pPr>
    </w:p>
    <w:tbl>
      <w:tblPr>
        <w:tblW w:w="9068" w:type="dxa"/>
        <w:tblLook w:val="04A0" w:firstRow="1" w:lastRow="0" w:firstColumn="1" w:lastColumn="0" w:noHBand="0" w:noVBand="1"/>
      </w:tblPr>
      <w:tblGrid>
        <w:gridCol w:w="586"/>
        <w:gridCol w:w="2814"/>
        <w:gridCol w:w="1243"/>
        <w:gridCol w:w="1023"/>
        <w:gridCol w:w="1134"/>
        <w:gridCol w:w="1134"/>
        <w:gridCol w:w="1134"/>
      </w:tblGrid>
      <w:tr w:rsidR="006D1BD3" w:rsidTr="00026737">
        <w:trPr>
          <w:trHeight w:val="469"/>
        </w:trPr>
        <w:tc>
          <w:tcPr>
            <w:tcW w:w="591"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322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Service Area</w:t>
            </w:r>
          </w:p>
        </w:tc>
        <w:tc>
          <w:tcPr>
            <w:tcW w:w="11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9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0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0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w:t>
            </w:r>
          </w:p>
        </w:tc>
        <w:tc>
          <w:tcPr>
            <w:tcW w:w="10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327"/>
        </w:trPr>
        <w:tc>
          <w:tcPr>
            <w:tcW w:w="591"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227"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9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3.1</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Adult Services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328.432</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326.150</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-2.282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-2.750</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-0.69%</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Education &amp; Childrens Services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147.167</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151.940</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4.773</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2.484</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3.24%</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3.3</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Community Services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129.748</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125.706</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w:t>
            </w:r>
            <w:r>
              <w:rPr>
                <w:rFonts w:eastAsia="Times New Roman" w:cs="Arial"/>
                <w:sz w:val="22"/>
                <w:szCs w:val="22"/>
                <w:lang w:eastAsia="en-GB"/>
              </w:rPr>
              <w:t>4.04</w:t>
            </w:r>
            <w:r w:rsidRPr="00F97006">
              <w:rPr>
                <w:rFonts w:eastAsia="Times New Roman" w:cs="Arial"/>
                <w:sz w:val="22"/>
                <w:szCs w:val="22"/>
                <w:lang w:eastAsia="en-GB"/>
              </w:rPr>
              <w:t>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-3.578</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-3.12%</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3.4</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Public Health &amp; Wellbeing</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20.191</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15.782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-4.409</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-3.834</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-21.84%</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3.5</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Economic Development &amp; Planning</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2.056</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1.512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-0.544</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-0.564</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-26.46%</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3.6</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Programmes &amp; Projects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6.062</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5.460</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-0.602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-0.181</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-9.93%</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Finance, Corporate &amp; Property Services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77.950</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77.148</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-0.802</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0.079</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-1.03%</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3.8</w:t>
            </w:r>
          </w:p>
        </w:tc>
        <w:tc>
          <w:tcPr>
            <w:tcW w:w="3227"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Chief Executive Services</w:t>
            </w:r>
          </w:p>
        </w:tc>
        <w:tc>
          <w:tcPr>
            <w:tcW w:w="11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13.214</w:t>
            </w:r>
          </w:p>
        </w:tc>
        <w:tc>
          <w:tcPr>
            <w:tcW w:w="9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0.226</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-12.988</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-7.414</w:t>
            </w:r>
          </w:p>
        </w:tc>
        <w:tc>
          <w:tcPr>
            <w:tcW w:w="1050" w:type="dxa"/>
            <w:tcBorders>
              <w:top w:val="nil"/>
              <w:left w:val="nil"/>
              <w:bottom w:val="single" w:sz="4" w:space="0" w:color="auto"/>
              <w:right w:val="single" w:sz="4" w:space="0" w:color="auto"/>
            </w:tcBorders>
            <w:shd w:val="clear" w:color="000000" w:fill="FFFFFF"/>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-98.29%</w:t>
            </w:r>
          </w:p>
        </w:tc>
      </w:tr>
      <w:tr w:rsidR="006D1BD3" w:rsidTr="00026737">
        <w:trPr>
          <w:trHeight w:val="515"/>
        </w:trPr>
        <w:tc>
          <w:tcPr>
            <w:tcW w:w="591"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22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w:t>
            </w:r>
          </w:p>
        </w:tc>
        <w:tc>
          <w:tcPr>
            <w:tcW w:w="11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724.822</w:t>
            </w:r>
          </w:p>
        </w:tc>
        <w:tc>
          <w:tcPr>
            <w:tcW w:w="9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703.924</w:t>
            </w:r>
          </w:p>
        </w:tc>
        <w:tc>
          <w:tcPr>
            <w:tcW w:w="10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-20.896</w:t>
            </w:r>
          </w:p>
        </w:tc>
        <w:tc>
          <w:tcPr>
            <w:tcW w:w="10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-15.758</w:t>
            </w:r>
          </w:p>
        </w:tc>
        <w:tc>
          <w:tcPr>
            <w:tcW w:w="10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-2.88%</w:t>
            </w:r>
          </w:p>
        </w:tc>
      </w:tr>
    </w:tbl>
    <w:p w:rsidR="00026737" w:rsidRDefault="00A953D6" w:rsidP="00026737">
      <w:pPr>
        <w:spacing w:after="0"/>
        <w:rPr>
          <w:rFonts w:cs="Arial"/>
        </w:rPr>
      </w:pPr>
    </w:p>
    <w:p w:rsidR="00026737" w:rsidRPr="00EE785E" w:rsidRDefault="008A011B" w:rsidP="00026737">
      <w:pPr>
        <w:spacing w:after="0"/>
        <w:rPr>
          <w:rFonts w:cs="Arial"/>
        </w:rPr>
      </w:pPr>
      <w:r w:rsidRPr="00EE785E">
        <w:rPr>
          <w:rFonts w:cs="Arial"/>
        </w:rPr>
        <w:t xml:space="preserve">The final outturn position for 2017/18 is net </w:t>
      </w:r>
      <w:r w:rsidRPr="00DB53C7">
        <w:rPr>
          <w:rFonts w:cs="Arial"/>
        </w:rPr>
        <w:t>expenditure of £703.924m,</w:t>
      </w:r>
      <w:r w:rsidRPr="00EE785E">
        <w:rPr>
          <w:rFonts w:cs="Arial"/>
        </w:rPr>
        <w:t xml:space="preserve"> reflecting an in year </w:t>
      </w:r>
      <w:r w:rsidRPr="00DB53C7">
        <w:rPr>
          <w:rFonts w:cs="Arial"/>
        </w:rPr>
        <w:t>underspend of £20.896m</w:t>
      </w:r>
      <w:r w:rsidRPr="00EE785E">
        <w:rPr>
          <w:rFonts w:cs="Arial"/>
        </w:rPr>
        <w:t xml:space="preserve"> </w:t>
      </w:r>
      <w:r w:rsidRPr="00DB53C7">
        <w:rPr>
          <w:rFonts w:cs="Arial"/>
        </w:rPr>
        <w:t xml:space="preserve">being 2.88% of the budget. The 2017/18 forecast has improved by </w:t>
      </w:r>
      <w:r>
        <w:rPr>
          <w:rFonts w:cs="Arial"/>
        </w:rPr>
        <w:t>£5.138</w:t>
      </w:r>
      <w:r w:rsidRPr="00DB53C7">
        <w:rPr>
          <w:rFonts w:cs="Arial"/>
        </w:rPr>
        <w:t>m compared to the position</w:t>
      </w:r>
      <w:r w:rsidRPr="00EE785E">
        <w:rPr>
          <w:rFonts w:cs="Arial"/>
        </w:rPr>
        <w:t xml:space="preserve"> reported to Cabinet as at the end of December 2017.  </w:t>
      </w:r>
    </w:p>
    <w:p w:rsidR="00026737" w:rsidRPr="00EE785E" w:rsidRDefault="00A953D6" w:rsidP="00026737">
      <w:pPr>
        <w:spacing w:after="0"/>
        <w:rPr>
          <w:rFonts w:cs="Arial"/>
        </w:rPr>
      </w:pPr>
    </w:p>
    <w:p w:rsidR="00026737" w:rsidRDefault="008A011B" w:rsidP="00026737">
      <w:pPr>
        <w:spacing w:after="0"/>
        <w:rPr>
          <w:rFonts w:cs="Arial"/>
        </w:rPr>
      </w:pPr>
      <w:r w:rsidRPr="00EE785E">
        <w:rPr>
          <w:rFonts w:cs="Arial"/>
        </w:rPr>
        <w:t>The most significant areas of change</w:t>
      </w:r>
      <w:r>
        <w:rPr>
          <w:rFonts w:cs="Arial"/>
        </w:rPr>
        <w:t xml:space="preserve"> compared to the forecast presented to Cabinet at Quarter 3 are:</w:t>
      </w:r>
    </w:p>
    <w:p w:rsidR="00026737" w:rsidRDefault="00A953D6" w:rsidP="00026737">
      <w:pPr>
        <w:spacing w:after="0"/>
        <w:rPr>
          <w:rFonts w:cs="Arial"/>
        </w:rPr>
      </w:pPr>
    </w:p>
    <w:p w:rsidR="00026737" w:rsidRDefault="008A011B" w:rsidP="00026737">
      <w:pPr>
        <w:pStyle w:val="ListParagraph"/>
        <w:numPr>
          <w:ilvl w:val="0"/>
          <w:numId w:val="25"/>
        </w:numPr>
        <w:spacing w:after="0"/>
        <w:rPr>
          <w:rFonts w:cs="Arial"/>
        </w:rPr>
      </w:pPr>
      <w:r w:rsidRPr="00AF464C">
        <w:rPr>
          <w:rFonts w:cs="Arial"/>
        </w:rPr>
        <w:t>Improved Treasury Management performance of £4.958m due to a combination of interest payable being lower than budgeted and gains made on the sale of bonds.</w:t>
      </w:r>
    </w:p>
    <w:p w:rsidR="00026737" w:rsidRPr="00EE785E" w:rsidRDefault="008A011B" w:rsidP="00026737">
      <w:pPr>
        <w:pStyle w:val="ListParagraph"/>
        <w:numPr>
          <w:ilvl w:val="0"/>
          <w:numId w:val="25"/>
        </w:numPr>
        <w:spacing w:after="0"/>
        <w:rPr>
          <w:rFonts w:cs="Arial"/>
        </w:rPr>
      </w:pPr>
      <w:r w:rsidRPr="00EE785E">
        <w:rPr>
          <w:rFonts w:cs="Arial"/>
        </w:rPr>
        <w:t xml:space="preserve">An increased overspend in Children's Social Care due to placement costs of £1.239m. </w:t>
      </w:r>
    </w:p>
    <w:p w:rsidR="00026737" w:rsidRPr="00EE785E" w:rsidRDefault="008A011B" w:rsidP="00026737">
      <w:pPr>
        <w:pStyle w:val="ListParagraph"/>
        <w:numPr>
          <w:ilvl w:val="0"/>
          <w:numId w:val="25"/>
        </w:numPr>
        <w:spacing w:after="0"/>
        <w:rPr>
          <w:rFonts w:cs="Arial"/>
        </w:rPr>
      </w:pPr>
      <w:r w:rsidRPr="00EE785E">
        <w:rPr>
          <w:rFonts w:cs="Arial"/>
        </w:rPr>
        <w:t>An i</w:t>
      </w:r>
      <w:r>
        <w:rPr>
          <w:rFonts w:cs="Arial"/>
        </w:rPr>
        <w:t>ncreased underspend</w:t>
      </w:r>
      <w:r w:rsidRPr="00EE785E">
        <w:rPr>
          <w:rFonts w:cs="Arial"/>
        </w:rPr>
        <w:t xml:space="preserve"> in Chi</w:t>
      </w:r>
      <w:r>
        <w:rPr>
          <w:rFonts w:cs="Arial"/>
        </w:rPr>
        <w:t>ldren and Family Wellbeing Servi</w:t>
      </w:r>
      <w:r w:rsidRPr="00EE785E">
        <w:rPr>
          <w:rFonts w:cs="Arial"/>
        </w:rPr>
        <w:t xml:space="preserve">ce of £1.021m </w:t>
      </w:r>
      <w:r w:rsidRPr="00EE785E">
        <w:t>due to delays in recruitment pending the service redesign and the increased P</w:t>
      </w:r>
      <w:r>
        <w:t>ayment by Results</w:t>
      </w:r>
      <w:r w:rsidRPr="00EE785E">
        <w:t xml:space="preserve"> </w:t>
      </w:r>
      <w:r>
        <w:t>performance for the Troubled Families U</w:t>
      </w:r>
      <w:r w:rsidRPr="00EE785E">
        <w:t>nit.</w:t>
      </w:r>
    </w:p>
    <w:p w:rsidR="00026737" w:rsidRDefault="00A953D6" w:rsidP="00026737">
      <w:pPr>
        <w:spacing w:after="0"/>
      </w:pPr>
    </w:p>
    <w:p w:rsidR="00026737" w:rsidRDefault="008A011B">
      <w:pPr>
        <w:autoSpaceDE/>
        <w:autoSpaceDN/>
        <w:adjustRightInd/>
        <w:spacing w:after="0"/>
        <w:jc w:val="left"/>
      </w:pPr>
      <w:r>
        <w:br w:type="page"/>
      </w:r>
    </w:p>
    <w:p w:rsidR="00026737" w:rsidRDefault="008A011B" w:rsidP="00026737">
      <w:pPr>
        <w:autoSpaceDE/>
        <w:autoSpaceDN/>
        <w:adjustRightInd/>
        <w:spacing w:after="0"/>
      </w:pPr>
      <w:r>
        <w:lastRenderedPageBreak/>
        <w:t>The graph below shows how the variances have developed over quarterly Cabinet reporting during the financial year:</w:t>
      </w:r>
    </w:p>
    <w:p w:rsidR="00026737" w:rsidRDefault="00A953D6" w:rsidP="00026737">
      <w:pPr>
        <w:spacing w:after="0"/>
        <w:rPr>
          <w:rFonts w:cs="Arial"/>
          <w:b/>
          <w:u w:val="single"/>
        </w:rPr>
      </w:pPr>
    </w:p>
    <w:p w:rsidR="00026737" w:rsidRDefault="008A011B" w:rsidP="00026737">
      <w:pPr>
        <w:spacing w:after="0"/>
        <w:ind w:left="-709" w:firstLine="709"/>
        <w:jc w:val="left"/>
        <w:rPr>
          <w:rFonts w:cs="Arial"/>
          <w:b/>
          <w:u w:val="single"/>
        </w:rPr>
      </w:pPr>
      <w:r>
        <w:rPr>
          <w:rFonts w:cs="Arial"/>
          <w:b/>
          <w:noProof/>
          <w:u w:val="single"/>
          <w:lang w:eastAsia="en-GB"/>
        </w:rPr>
        <w:drawing>
          <wp:inline distT="0" distB="0" distL="0" distR="0">
            <wp:extent cx="5981700" cy="2771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25522"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02880" cy="2781589"/>
                    </a:xfrm>
                    <a:prstGeom prst="rect">
                      <a:avLst/>
                    </a:prstGeom>
                    <a:noFill/>
                    <a:ln>
                      <a:noFill/>
                    </a:ln>
                  </pic:spPr>
                </pic:pic>
              </a:graphicData>
            </a:graphic>
          </wp:inline>
        </w:drawing>
      </w:r>
    </w:p>
    <w:p w:rsidR="00026737" w:rsidRDefault="008A011B" w:rsidP="00026737">
      <w:pPr>
        <w:autoSpaceDE/>
        <w:autoSpaceDN/>
        <w:adjustRightInd/>
        <w:spacing w:after="0"/>
        <w:jc w:val="left"/>
        <w:rPr>
          <w:rFonts w:cs="Arial"/>
          <w:b/>
          <w:u w:val="single"/>
        </w:rPr>
      </w:pPr>
      <w:r>
        <w:rPr>
          <w:rFonts w:cs="Arial"/>
          <w:b/>
          <w:u w:val="single"/>
        </w:rPr>
        <w:br w:type="page"/>
      </w:r>
    </w:p>
    <w:p w:rsidR="00026737" w:rsidRDefault="008A011B" w:rsidP="00026737">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sidRPr="00FB36C0">
        <w:rPr>
          <w:rFonts w:eastAsia="Times New Roman" w:cs="Arial"/>
          <w:b/>
          <w:lang w:eastAsia="en-GB"/>
        </w:rPr>
        <w:tab/>
      </w:r>
      <w:r>
        <w:rPr>
          <w:rFonts w:eastAsia="Times New Roman" w:cs="Arial"/>
          <w:b/>
          <w:lang w:eastAsia="en-GB"/>
        </w:rPr>
        <w:t>Revenue Budget Outturn Detailed Analysis</w:t>
      </w:r>
    </w:p>
    <w:p w:rsidR="00026737" w:rsidRDefault="00A953D6" w:rsidP="00026737">
      <w:pPr>
        <w:spacing w:after="0"/>
        <w:rPr>
          <w:rFonts w:cs="Arial"/>
          <w:b/>
          <w:u w:val="single"/>
        </w:rPr>
      </w:pPr>
    </w:p>
    <w:p w:rsidR="00026737" w:rsidRDefault="008A011B" w:rsidP="00026737">
      <w:pPr>
        <w:spacing w:after="0"/>
        <w:rPr>
          <w:rFonts w:eastAsia="Times New Roman" w:cs="Arial"/>
          <w:b/>
          <w:lang w:eastAsia="en-GB"/>
        </w:rPr>
      </w:pPr>
      <w:r>
        <w:rPr>
          <w:rFonts w:eastAsia="Times New Roman" w:cs="Arial"/>
          <w:b/>
          <w:lang w:eastAsia="en-GB"/>
        </w:rPr>
        <w:t>3</w:t>
      </w:r>
      <w:r w:rsidRPr="00FB36C0">
        <w:rPr>
          <w:rFonts w:eastAsia="Times New Roman" w:cs="Arial"/>
          <w:b/>
          <w:lang w:eastAsia="en-GB"/>
        </w:rPr>
        <w:t>.</w:t>
      </w:r>
      <w:r>
        <w:rPr>
          <w:rFonts w:eastAsia="Times New Roman" w:cs="Arial"/>
          <w:b/>
          <w:lang w:eastAsia="en-GB"/>
        </w:rPr>
        <w:t>1</w:t>
      </w:r>
      <w:r w:rsidRPr="00FB36C0">
        <w:rPr>
          <w:rFonts w:eastAsia="Times New Roman" w:cs="Arial"/>
          <w:b/>
          <w:lang w:eastAsia="en-GB"/>
        </w:rPr>
        <w:tab/>
      </w:r>
      <w:r>
        <w:rPr>
          <w:rFonts w:eastAsia="Times New Roman" w:cs="Arial"/>
          <w:b/>
          <w:lang w:eastAsia="en-GB"/>
        </w:rPr>
        <w:t xml:space="preserve">Adults Services </w:t>
      </w:r>
    </w:p>
    <w:p w:rsidR="00026737" w:rsidRDefault="00A953D6" w:rsidP="00026737">
      <w:pPr>
        <w:tabs>
          <w:tab w:val="left" w:pos="851"/>
          <w:tab w:val="left" w:pos="1418"/>
        </w:tabs>
        <w:spacing w:after="0"/>
        <w:rPr>
          <w:rFonts w:cs="Arial"/>
          <w:color w:val="auto"/>
        </w:rPr>
      </w:pPr>
    </w:p>
    <w:tbl>
      <w:tblPr>
        <w:tblW w:w="8885" w:type="dxa"/>
        <w:tblLook w:val="04A0" w:firstRow="1" w:lastRow="0" w:firstColumn="1" w:lastColumn="0" w:noHBand="0" w:noVBand="1"/>
      </w:tblPr>
      <w:tblGrid>
        <w:gridCol w:w="706"/>
        <w:gridCol w:w="2511"/>
        <w:gridCol w:w="1243"/>
        <w:gridCol w:w="1023"/>
        <w:gridCol w:w="1134"/>
        <w:gridCol w:w="1134"/>
        <w:gridCol w:w="1134"/>
      </w:tblGrid>
      <w:tr w:rsidR="006D1BD3" w:rsidTr="00026737">
        <w:trPr>
          <w:trHeight w:val="619"/>
        </w:trPr>
        <w:tc>
          <w:tcPr>
            <w:tcW w:w="603"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3832"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Head of Service</w:t>
            </w:r>
          </w:p>
        </w:tc>
        <w:tc>
          <w:tcPr>
            <w:tcW w:w="9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8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8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8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8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452"/>
        </w:trPr>
        <w:tc>
          <w:tcPr>
            <w:tcW w:w="603"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832"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9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3.1.1</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Disability (Adults)</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-3.493</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-3.985</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-0.492</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-0.542</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14.09%</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3.1.2</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Older People</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1.239</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2.062</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0.823</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0.766</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66.42%</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3.1.3</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Learning Disabilities, Autism &amp; Mental Health</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177.962</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170.137</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-7.825</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-8.594</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-4.40%</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3.1.4</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Social Care Services (Adults)</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151.660</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156.956</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5.296</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5.621</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3.49%</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3.1.5</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Policy Information &amp; Commissioning Age Well</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0.521</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0.436</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-0.085</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-16.31%</w:t>
            </w:r>
          </w:p>
        </w:tc>
      </w:tr>
      <w:tr w:rsidR="006D1BD3" w:rsidTr="00026737">
        <w:trPr>
          <w:trHeight w:val="437"/>
        </w:trPr>
        <w:tc>
          <w:tcPr>
            <w:tcW w:w="603"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3.1.6</w:t>
            </w:r>
          </w:p>
        </w:tc>
        <w:tc>
          <w:tcPr>
            <w:tcW w:w="3832"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Policy Information &amp; Commissioning Live Well</w:t>
            </w:r>
          </w:p>
        </w:tc>
        <w:tc>
          <w:tcPr>
            <w:tcW w:w="9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0.543</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0.544</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0.001</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8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0.18%</w:t>
            </w:r>
          </w:p>
        </w:tc>
      </w:tr>
      <w:tr w:rsidR="006D1BD3" w:rsidTr="00026737">
        <w:trPr>
          <w:trHeight w:val="452"/>
        </w:trPr>
        <w:tc>
          <w:tcPr>
            <w:tcW w:w="603"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832"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Adult Services</w:t>
            </w:r>
          </w:p>
        </w:tc>
        <w:tc>
          <w:tcPr>
            <w:tcW w:w="9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328.432</w:t>
            </w:r>
          </w:p>
        </w:tc>
        <w:tc>
          <w:tcPr>
            <w:tcW w:w="8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326.150</w:t>
            </w:r>
          </w:p>
        </w:tc>
        <w:tc>
          <w:tcPr>
            <w:tcW w:w="8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-2.282</w:t>
            </w:r>
          </w:p>
        </w:tc>
        <w:tc>
          <w:tcPr>
            <w:tcW w:w="8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-2.750</w:t>
            </w:r>
          </w:p>
        </w:tc>
        <w:tc>
          <w:tcPr>
            <w:tcW w:w="8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-0.69%</w:t>
            </w:r>
          </w:p>
        </w:tc>
      </w:tr>
    </w:tbl>
    <w:p w:rsidR="00026737" w:rsidRDefault="00A953D6" w:rsidP="00026737">
      <w:pPr>
        <w:tabs>
          <w:tab w:val="left" w:pos="851"/>
          <w:tab w:val="left" w:pos="1418"/>
        </w:tabs>
        <w:spacing w:after="0"/>
        <w:rPr>
          <w:rFonts w:cs="Arial"/>
          <w:color w:val="auto"/>
        </w:rPr>
      </w:pPr>
    </w:p>
    <w:p w:rsidR="00026737" w:rsidRPr="007C7128" w:rsidRDefault="008A011B" w:rsidP="00026737">
      <w:pPr>
        <w:tabs>
          <w:tab w:val="left" w:pos="851"/>
          <w:tab w:val="left" w:pos="1418"/>
        </w:tabs>
        <w:spacing w:after="0"/>
        <w:rPr>
          <w:rFonts w:cs="Arial"/>
        </w:rPr>
      </w:pPr>
      <w:r w:rsidRPr="007C7128">
        <w:rPr>
          <w:rFonts w:cs="Arial"/>
        </w:rPr>
        <w:t>The total net approved budget for Adult Services in 2017/18 is £328.432m</w:t>
      </w:r>
      <w:r>
        <w:rPr>
          <w:rFonts w:cs="Arial"/>
        </w:rPr>
        <w:t xml:space="preserve"> with the </w:t>
      </w:r>
      <w:r w:rsidRPr="007C7128">
        <w:rPr>
          <w:rFonts w:cs="Arial"/>
        </w:rPr>
        <w:t xml:space="preserve">service </w:t>
      </w:r>
      <w:r>
        <w:rPr>
          <w:rFonts w:cs="Arial"/>
        </w:rPr>
        <w:t>underspending</w:t>
      </w:r>
      <w:r w:rsidRPr="007C7128">
        <w:rPr>
          <w:rFonts w:cs="Arial"/>
        </w:rPr>
        <w:t xml:space="preserve"> by £2.</w:t>
      </w:r>
      <w:r>
        <w:rPr>
          <w:rFonts w:cs="Arial"/>
        </w:rPr>
        <w:t>282</w:t>
      </w:r>
      <w:r w:rsidRPr="007C7128">
        <w:rPr>
          <w:rFonts w:cs="Arial"/>
        </w:rPr>
        <w:t>m</w:t>
      </w:r>
      <w:r>
        <w:rPr>
          <w:rFonts w:cs="Arial"/>
        </w:rPr>
        <w:t xml:space="preserve"> in this financial year. </w:t>
      </w:r>
    </w:p>
    <w:p w:rsidR="00026737" w:rsidRDefault="00A953D6" w:rsidP="00026737">
      <w:pPr>
        <w:spacing w:after="0"/>
      </w:pPr>
    </w:p>
    <w:p w:rsidR="00026737" w:rsidRPr="00E85DEF" w:rsidRDefault="008A011B" w:rsidP="00026737">
      <w:pPr>
        <w:spacing w:after="0"/>
        <w:rPr>
          <w:rFonts w:cs="Arial"/>
        </w:rPr>
      </w:pPr>
      <w:r w:rsidRPr="00E85DEF">
        <w:rPr>
          <w:rFonts w:cs="Arial"/>
          <w:b/>
          <w:i/>
        </w:rPr>
        <w:t>3.1.1 Disability (Adults)</w:t>
      </w:r>
      <w:r w:rsidRPr="00994FBF">
        <w:rPr>
          <w:rFonts w:cs="Arial"/>
        </w:rPr>
        <w:t xml:space="preserve"> underspend </w:t>
      </w:r>
      <w:r>
        <w:rPr>
          <w:rFonts w:cs="Arial"/>
        </w:rPr>
        <w:t xml:space="preserve">of £0.492m is as a result of staff vacancies and additional income. </w:t>
      </w:r>
    </w:p>
    <w:p w:rsidR="00026737" w:rsidRDefault="00A953D6" w:rsidP="00026737">
      <w:pPr>
        <w:spacing w:after="0"/>
      </w:pPr>
    </w:p>
    <w:p w:rsidR="00026737" w:rsidRDefault="008A011B" w:rsidP="00026737">
      <w:pPr>
        <w:spacing w:after="0"/>
        <w:rPr>
          <w:rFonts w:cs="Arial"/>
          <w:color w:val="auto"/>
        </w:rPr>
      </w:pPr>
      <w:r w:rsidRPr="00E85DEF">
        <w:rPr>
          <w:rFonts w:cs="Arial"/>
          <w:b/>
          <w:i/>
          <w:color w:val="auto"/>
        </w:rPr>
        <w:t>3.1.2 Older People Services</w:t>
      </w:r>
      <w:r>
        <w:rPr>
          <w:rFonts w:cs="Arial"/>
          <w:color w:val="auto"/>
        </w:rPr>
        <w:t xml:space="preserve"> ha</w:t>
      </w:r>
      <w:r w:rsidRPr="00151313">
        <w:rPr>
          <w:rFonts w:cs="Arial"/>
          <w:color w:val="auto"/>
        </w:rPr>
        <w:t xml:space="preserve">s </w:t>
      </w:r>
      <w:r>
        <w:rPr>
          <w:rFonts w:cs="Arial"/>
          <w:color w:val="auto"/>
        </w:rPr>
        <w:t>overspent by</w:t>
      </w:r>
      <w:r w:rsidRPr="00151313">
        <w:rPr>
          <w:rFonts w:cs="Arial"/>
          <w:color w:val="auto"/>
        </w:rPr>
        <w:t xml:space="preserve"> £0.</w:t>
      </w:r>
      <w:r>
        <w:rPr>
          <w:rFonts w:cs="Arial"/>
          <w:color w:val="auto"/>
        </w:rPr>
        <w:t>823m in 2017/18. This</w:t>
      </w:r>
      <w:r w:rsidRPr="00151313">
        <w:rPr>
          <w:rFonts w:cs="Arial"/>
          <w:color w:val="auto"/>
        </w:rPr>
        <w:t xml:space="preserve"> overspend is </w:t>
      </w:r>
      <w:r>
        <w:rPr>
          <w:rFonts w:cs="Arial"/>
          <w:color w:val="auto"/>
        </w:rPr>
        <w:t xml:space="preserve">due to the </w:t>
      </w:r>
      <w:r>
        <w:rPr>
          <w:rFonts w:cs="Arial"/>
        </w:rPr>
        <w:t>underachievement of income and the use of agency staff to cover vacancies in the short term. This partly reflects the impact of</w:t>
      </w:r>
      <w:r w:rsidRPr="00151313">
        <w:rPr>
          <w:rFonts w:cs="Arial"/>
          <w:color w:val="auto"/>
        </w:rPr>
        <w:t xml:space="preserve"> an undeliverable saving of £0.425m that has been built back into the MTFS</w:t>
      </w:r>
      <w:r>
        <w:rPr>
          <w:rFonts w:cs="Arial"/>
          <w:color w:val="auto"/>
        </w:rPr>
        <w:t xml:space="preserve"> from 2018/19 and will therefore not be a recurring pressure. This is largely in line with the forecast reported to Cabinet at Quarter 3. </w:t>
      </w:r>
    </w:p>
    <w:p w:rsidR="00026737" w:rsidRDefault="00A953D6" w:rsidP="00026737">
      <w:pPr>
        <w:tabs>
          <w:tab w:val="left" w:pos="851"/>
          <w:tab w:val="left" w:pos="1418"/>
        </w:tabs>
        <w:spacing w:after="0"/>
        <w:rPr>
          <w:rFonts w:cs="Arial"/>
          <w:b/>
        </w:rPr>
      </w:pPr>
    </w:p>
    <w:p w:rsidR="00026737" w:rsidRDefault="008A011B" w:rsidP="00026737">
      <w:pPr>
        <w:spacing w:after="0"/>
        <w:rPr>
          <w:rFonts w:cs="Arial"/>
        </w:rPr>
      </w:pPr>
      <w:r w:rsidRPr="00E85DEF">
        <w:rPr>
          <w:rFonts w:cs="Arial"/>
          <w:b/>
          <w:i/>
        </w:rPr>
        <w:t>3.1.3 Learning Disability, Autism and Mental Health</w:t>
      </w:r>
      <w:r>
        <w:rPr>
          <w:rFonts w:cs="Arial"/>
        </w:rPr>
        <w:t xml:space="preserve"> service has an underspend of £7.825m in 2017/18 compared to a budget of £177.962m. The significant elements of this are detailed below:</w:t>
      </w:r>
    </w:p>
    <w:p w:rsidR="00026737" w:rsidRDefault="00A953D6" w:rsidP="00026737">
      <w:pPr>
        <w:spacing w:after="0"/>
        <w:rPr>
          <w:rFonts w:cs="Arial"/>
        </w:rPr>
      </w:pPr>
    </w:p>
    <w:p w:rsidR="00026737" w:rsidRDefault="008A011B" w:rsidP="00026737">
      <w:pPr>
        <w:pStyle w:val="ListParagraph"/>
        <w:numPr>
          <w:ilvl w:val="0"/>
          <w:numId w:val="26"/>
        </w:numPr>
        <w:autoSpaceDE/>
        <w:autoSpaceDN/>
        <w:adjustRightInd/>
        <w:spacing w:after="0" w:line="259" w:lineRule="auto"/>
        <w:rPr>
          <w:rFonts w:cs="Arial"/>
        </w:rPr>
      </w:pPr>
      <w:r w:rsidRPr="004F177A">
        <w:rPr>
          <w:rFonts w:cs="Arial"/>
        </w:rPr>
        <w:t xml:space="preserve">Learning Disabilities </w:t>
      </w:r>
      <w:r>
        <w:rPr>
          <w:rFonts w:cs="Arial"/>
        </w:rPr>
        <w:t>has underspent by</w:t>
      </w:r>
      <w:r w:rsidRPr="004F177A">
        <w:rPr>
          <w:rFonts w:cs="Arial"/>
        </w:rPr>
        <w:t xml:space="preserve"> £5.</w:t>
      </w:r>
      <w:r>
        <w:rPr>
          <w:rFonts w:cs="Arial"/>
        </w:rPr>
        <w:t>437</w:t>
      </w:r>
      <w:r w:rsidRPr="004F177A">
        <w:rPr>
          <w:rFonts w:cs="Arial"/>
        </w:rPr>
        <w:t xml:space="preserve">m, which is mainly as a result of the service not experiencing the level of demand built into the LCC budget. </w:t>
      </w:r>
    </w:p>
    <w:p w:rsidR="00026737" w:rsidRDefault="00A953D6" w:rsidP="00026737">
      <w:pPr>
        <w:pStyle w:val="ListParagraph"/>
        <w:autoSpaceDE/>
        <w:autoSpaceDN/>
        <w:adjustRightInd/>
        <w:spacing w:after="0" w:line="259" w:lineRule="auto"/>
        <w:rPr>
          <w:rFonts w:cs="Arial"/>
        </w:rPr>
      </w:pPr>
    </w:p>
    <w:p w:rsidR="00026737" w:rsidRDefault="008A011B" w:rsidP="00026737">
      <w:pPr>
        <w:pStyle w:val="ListParagraph"/>
        <w:numPr>
          <w:ilvl w:val="0"/>
          <w:numId w:val="26"/>
        </w:numPr>
        <w:tabs>
          <w:tab w:val="left" w:pos="851"/>
          <w:tab w:val="left" w:pos="1418"/>
        </w:tabs>
        <w:spacing w:after="0"/>
      </w:pPr>
      <w:r w:rsidRPr="00F32756">
        <w:t>The savi</w:t>
      </w:r>
      <w:r>
        <w:t>ngs that needed to be achieved by</w:t>
      </w:r>
      <w:r w:rsidRPr="00F32756">
        <w:t xml:space="preserve"> the Remodelling Team</w:t>
      </w:r>
      <w:r>
        <w:t xml:space="preserve"> of £1.200m in 2017/18 were exceeded </w:t>
      </w:r>
      <w:r w:rsidRPr="00F32756">
        <w:t>by £0.044m</w:t>
      </w:r>
      <w:r>
        <w:t xml:space="preserve">. This is </w:t>
      </w:r>
      <w:r w:rsidRPr="00F32756">
        <w:t xml:space="preserve">as a result of completing the remodelling of 52 supported living schemes. </w:t>
      </w:r>
    </w:p>
    <w:p w:rsidR="00026737" w:rsidRPr="00F32756" w:rsidRDefault="00A953D6" w:rsidP="00026737">
      <w:pPr>
        <w:tabs>
          <w:tab w:val="left" w:pos="851"/>
          <w:tab w:val="left" w:pos="1418"/>
        </w:tabs>
        <w:spacing w:after="0"/>
      </w:pPr>
    </w:p>
    <w:p w:rsidR="00026737" w:rsidRDefault="008A011B" w:rsidP="00026737">
      <w:pPr>
        <w:pStyle w:val="ListParagraph"/>
        <w:numPr>
          <w:ilvl w:val="0"/>
          <w:numId w:val="26"/>
        </w:numPr>
        <w:tabs>
          <w:tab w:val="left" w:pos="851"/>
          <w:tab w:val="left" w:pos="1418"/>
        </w:tabs>
        <w:spacing w:after="0"/>
        <w:rPr>
          <w:color w:val="auto"/>
        </w:rPr>
      </w:pPr>
      <w:r w:rsidRPr="00F4703F">
        <w:rPr>
          <w:color w:val="auto"/>
        </w:rPr>
        <w:t xml:space="preserve">In 2017/18 the budget included a saving of £0.750m for reviews. This saving has not been </w:t>
      </w:r>
      <w:r>
        <w:rPr>
          <w:color w:val="auto"/>
        </w:rPr>
        <w:t>fully achieved in this financial year. Review activity has saved</w:t>
      </w:r>
      <w:r w:rsidRPr="00F4703F">
        <w:rPr>
          <w:color w:val="auto"/>
        </w:rPr>
        <w:t xml:space="preserve"> £0.266m with a net pressure of £0.484m reported as part of the year end </w:t>
      </w:r>
      <w:r w:rsidRPr="00F4703F">
        <w:rPr>
          <w:color w:val="auto"/>
        </w:rPr>
        <w:lastRenderedPageBreak/>
        <w:t xml:space="preserve">position. In addition, reassessment of financial contributions of service users in receipt of ILF </w:t>
      </w:r>
      <w:r>
        <w:rPr>
          <w:color w:val="auto"/>
        </w:rPr>
        <w:t xml:space="preserve">(Independent Living Fund) </w:t>
      </w:r>
      <w:r w:rsidRPr="00F4703F">
        <w:rPr>
          <w:color w:val="auto"/>
        </w:rPr>
        <w:t>has resulted in ILF refunds being made, causing an additional pressure of £0.472m.</w:t>
      </w:r>
    </w:p>
    <w:p w:rsidR="00026737" w:rsidRPr="00F4703F" w:rsidRDefault="00A953D6" w:rsidP="00026737">
      <w:pPr>
        <w:tabs>
          <w:tab w:val="left" w:pos="851"/>
          <w:tab w:val="left" w:pos="1418"/>
        </w:tabs>
        <w:spacing w:after="0"/>
        <w:rPr>
          <w:color w:val="auto"/>
        </w:rPr>
      </w:pPr>
    </w:p>
    <w:p w:rsidR="00026737" w:rsidRDefault="008A011B" w:rsidP="00026737">
      <w:pPr>
        <w:pStyle w:val="ListParagraph"/>
        <w:numPr>
          <w:ilvl w:val="0"/>
          <w:numId w:val="26"/>
        </w:numPr>
        <w:tabs>
          <w:tab w:val="left" w:pos="851"/>
          <w:tab w:val="left" w:pos="1418"/>
        </w:tabs>
        <w:spacing w:after="0"/>
        <w:rPr>
          <w:color w:val="auto"/>
        </w:rPr>
      </w:pPr>
      <w:r w:rsidRPr="00F4703F">
        <w:rPr>
          <w:color w:val="auto"/>
        </w:rPr>
        <w:t>In addition, the final position for 2017/18 across the Learning Disability Service also includes £1.425m additional income</w:t>
      </w:r>
      <w:r>
        <w:rPr>
          <w:color w:val="auto"/>
        </w:rPr>
        <w:t xml:space="preserve"> contributions from health and service users. </w:t>
      </w:r>
      <w:r w:rsidRPr="00F4703F">
        <w:rPr>
          <w:color w:val="auto"/>
        </w:rPr>
        <w:t xml:space="preserve"> </w:t>
      </w:r>
    </w:p>
    <w:p w:rsidR="00026737" w:rsidRPr="00092A55" w:rsidRDefault="00A953D6" w:rsidP="00026737">
      <w:pPr>
        <w:pStyle w:val="ListParagraph"/>
        <w:rPr>
          <w:color w:val="auto"/>
        </w:rPr>
      </w:pPr>
    </w:p>
    <w:p w:rsidR="00026737" w:rsidRDefault="008A011B" w:rsidP="00026737">
      <w:pPr>
        <w:pStyle w:val="ListParagraph"/>
        <w:numPr>
          <w:ilvl w:val="0"/>
          <w:numId w:val="26"/>
        </w:numPr>
        <w:tabs>
          <w:tab w:val="left" w:pos="851"/>
          <w:tab w:val="left" w:pos="1418"/>
        </w:tabs>
        <w:spacing w:after="0"/>
      </w:pPr>
      <w:r>
        <w:t>The</w:t>
      </w:r>
      <w:r w:rsidRPr="008338C6">
        <w:t xml:space="preserve"> Mental Health </w:t>
      </w:r>
      <w:r>
        <w:t xml:space="preserve">commissioned services budget has </w:t>
      </w:r>
      <w:r w:rsidRPr="008338C6">
        <w:t>underspe</w:t>
      </w:r>
      <w:r>
        <w:t>nt</w:t>
      </w:r>
      <w:r w:rsidRPr="00DE30A8">
        <w:t xml:space="preserve"> </w:t>
      </w:r>
      <w:r>
        <w:t xml:space="preserve">by £1.010m in 2017/18. This includes most significantly, overspends in residential services of £1.365m and an offsetting underspend of £2.173m in domiciliary services. </w:t>
      </w:r>
    </w:p>
    <w:p w:rsidR="00026737" w:rsidRDefault="00A953D6" w:rsidP="00026737">
      <w:pPr>
        <w:pStyle w:val="ListParagraph"/>
      </w:pPr>
    </w:p>
    <w:p w:rsidR="00026737" w:rsidRPr="00170C79" w:rsidRDefault="008A011B" w:rsidP="00026737">
      <w:pPr>
        <w:pStyle w:val="ListParagraph"/>
        <w:numPr>
          <w:ilvl w:val="0"/>
          <w:numId w:val="26"/>
        </w:numPr>
        <w:tabs>
          <w:tab w:val="left" w:pos="851"/>
          <w:tab w:val="left" w:pos="1418"/>
        </w:tabs>
        <w:spacing w:after="0"/>
      </w:pPr>
      <w:r w:rsidRPr="00092A55">
        <w:rPr>
          <w:rFonts w:cs="Arial"/>
        </w:rPr>
        <w:t xml:space="preserve">Mental Health and Learning Disability and Autism staffing </w:t>
      </w:r>
      <w:r>
        <w:t>has underspent by</w:t>
      </w:r>
      <w:r w:rsidRPr="00170C79">
        <w:t xml:space="preserve"> £1.3</w:t>
      </w:r>
      <w:r>
        <w:t xml:space="preserve">78m in 2017/18, which is slightly higher than forecast at Quarter 3. These posts are actively being recruited to in 2018/19. </w:t>
      </w:r>
    </w:p>
    <w:p w:rsidR="00026737" w:rsidRPr="00092A55" w:rsidRDefault="00A953D6" w:rsidP="00026737">
      <w:pPr>
        <w:autoSpaceDE/>
        <w:autoSpaceDN/>
        <w:adjustRightInd/>
        <w:spacing w:after="0"/>
        <w:rPr>
          <w:rFonts w:eastAsia="Times New Roman" w:cs="Arial"/>
          <w:lang w:eastAsia="en-GB"/>
        </w:rPr>
      </w:pPr>
    </w:p>
    <w:p w:rsidR="00026737" w:rsidRPr="00317DEE" w:rsidRDefault="008A011B" w:rsidP="00026737">
      <w:pPr>
        <w:spacing w:after="0"/>
        <w:rPr>
          <w:rFonts w:cs="Arial"/>
          <w:color w:val="auto"/>
        </w:rPr>
      </w:pPr>
      <w:r w:rsidRPr="00317DEE">
        <w:rPr>
          <w:rFonts w:cs="Arial"/>
          <w:b/>
          <w:i/>
          <w:color w:val="auto"/>
        </w:rPr>
        <w:t>3.1.4 Social Care Services (Adults)</w:t>
      </w:r>
      <w:r w:rsidRPr="00317DEE">
        <w:rPr>
          <w:rFonts w:cs="Arial"/>
          <w:color w:val="auto"/>
        </w:rPr>
        <w:t xml:space="preserve"> has reported an overspend of £5.296m compared to a total budget for 2017/18 of £151.660m. </w:t>
      </w:r>
    </w:p>
    <w:p w:rsidR="00026737" w:rsidRPr="00317DEE" w:rsidRDefault="00A953D6" w:rsidP="00026737">
      <w:pPr>
        <w:autoSpaceDE/>
        <w:autoSpaceDN/>
        <w:adjustRightInd/>
        <w:spacing w:after="0" w:line="259" w:lineRule="auto"/>
        <w:rPr>
          <w:rFonts w:cs="Arial"/>
        </w:rPr>
      </w:pPr>
    </w:p>
    <w:p w:rsidR="00026737" w:rsidRPr="00317DEE" w:rsidRDefault="008A011B" w:rsidP="00317DEE">
      <w:pPr>
        <w:pStyle w:val="ListParagraph"/>
        <w:numPr>
          <w:ilvl w:val="0"/>
          <w:numId w:val="47"/>
        </w:numPr>
        <w:spacing w:after="0"/>
        <w:rPr>
          <w:rFonts w:cs="Arial"/>
          <w:color w:val="auto"/>
        </w:rPr>
      </w:pPr>
      <w:r w:rsidRPr="00317DEE">
        <w:rPr>
          <w:rFonts w:cs="Arial"/>
          <w:color w:val="auto"/>
        </w:rPr>
        <w:t xml:space="preserve">Physical Support has overspent by £6.562m in 2017/18 compared to a budget of £163.464m. The service was previously forecasting an overspend of £6.271m at Quarter 3, therefore an improvement of £0.291m is reported as part of final outturn. The main reasons for the variance to budget are outlined below. </w:t>
      </w:r>
    </w:p>
    <w:p w:rsidR="00026737" w:rsidRPr="00317DEE" w:rsidRDefault="00A953D6" w:rsidP="00026737">
      <w:pPr>
        <w:autoSpaceDE/>
        <w:autoSpaceDN/>
        <w:adjustRightInd/>
        <w:spacing w:after="0" w:line="259" w:lineRule="auto"/>
        <w:rPr>
          <w:rFonts w:cs="Arial"/>
          <w:color w:val="auto"/>
        </w:rPr>
      </w:pPr>
    </w:p>
    <w:p w:rsidR="00026737" w:rsidRPr="00317DEE" w:rsidRDefault="008A011B" w:rsidP="00317DEE">
      <w:pPr>
        <w:pStyle w:val="ListParagraph"/>
        <w:numPr>
          <w:ilvl w:val="0"/>
          <w:numId w:val="47"/>
        </w:numPr>
        <w:autoSpaceDE/>
        <w:autoSpaceDN/>
        <w:adjustRightInd/>
        <w:spacing w:after="0" w:line="259" w:lineRule="auto"/>
        <w:rPr>
          <w:rFonts w:cs="Arial"/>
        </w:rPr>
      </w:pPr>
      <w:r w:rsidRPr="00317DEE">
        <w:rPr>
          <w:rFonts w:cs="Arial"/>
        </w:rPr>
        <w:t xml:space="preserve">Nursing care throughout the financial year has been forecasting to overspend, and at final outturn an overspend of c£2.7m has been reported due to a higher than budgeted increase in placement numbers (9.5%) and higher average weekly costs (8.6%). The increase in prices is as a result of higher value packages being commissioned in addition to an increase in dementia placements. </w:t>
      </w:r>
    </w:p>
    <w:p w:rsidR="00026737" w:rsidRPr="00317DEE" w:rsidRDefault="00A953D6" w:rsidP="00026737">
      <w:pPr>
        <w:autoSpaceDE/>
        <w:autoSpaceDN/>
        <w:adjustRightInd/>
        <w:spacing w:after="0" w:line="259" w:lineRule="auto"/>
        <w:rPr>
          <w:rFonts w:cs="Arial"/>
        </w:rPr>
      </w:pPr>
    </w:p>
    <w:p w:rsidR="00026737" w:rsidRPr="00317DEE" w:rsidRDefault="008A011B" w:rsidP="00317DEE">
      <w:pPr>
        <w:pStyle w:val="ListParagraph"/>
        <w:numPr>
          <w:ilvl w:val="0"/>
          <w:numId w:val="47"/>
        </w:numPr>
        <w:autoSpaceDE/>
        <w:autoSpaceDN/>
        <w:adjustRightInd/>
        <w:spacing w:after="0" w:line="259" w:lineRule="auto"/>
        <w:rPr>
          <w:rFonts w:cs="Arial"/>
          <w:color w:val="auto"/>
        </w:rPr>
      </w:pPr>
      <w:r w:rsidRPr="00317DEE">
        <w:rPr>
          <w:rFonts w:cs="Arial"/>
          <w:color w:val="auto"/>
        </w:rPr>
        <w:t xml:space="preserve">The Passport to Independence Programme is a transformation agenda that will result in significant savings delivery over several years. The budget for 2017/18 includes savings of £8.437m relating to the programme, however the outturn reflects c£5.5m of achieved savings, with </w:t>
      </w:r>
      <w:r w:rsidR="00C27ADC" w:rsidRPr="00317DEE">
        <w:rPr>
          <w:rFonts w:cs="Arial"/>
          <w:color w:val="auto"/>
        </w:rPr>
        <w:t>the delayed</w:t>
      </w:r>
      <w:r w:rsidRPr="00317DEE">
        <w:rPr>
          <w:rFonts w:cs="Arial"/>
          <w:color w:val="auto"/>
        </w:rPr>
        <w:t xml:space="preserve"> delivery resulting in an in year pressure of £2.9m. The savings profile has been updated and the revised profile has been included within the medium term financial strategy for 2018/19 onwards. </w:t>
      </w:r>
    </w:p>
    <w:p w:rsidR="00026737" w:rsidRPr="00317DEE" w:rsidRDefault="00A953D6" w:rsidP="00317DEE">
      <w:pPr>
        <w:autoSpaceDE/>
        <w:autoSpaceDN/>
        <w:adjustRightInd/>
        <w:spacing w:after="0" w:line="259" w:lineRule="auto"/>
        <w:ind w:firstLine="60"/>
        <w:rPr>
          <w:rFonts w:cs="Arial"/>
          <w:color w:val="auto"/>
        </w:rPr>
      </w:pPr>
    </w:p>
    <w:p w:rsidR="00026737" w:rsidRPr="00317DEE" w:rsidRDefault="008A011B" w:rsidP="00317DEE">
      <w:pPr>
        <w:pStyle w:val="ListParagraph"/>
        <w:numPr>
          <w:ilvl w:val="0"/>
          <w:numId w:val="47"/>
        </w:numPr>
        <w:autoSpaceDE/>
        <w:autoSpaceDN/>
        <w:adjustRightInd/>
        <w:spacing w:after="0" w:line="259" w:lineRule="auto"/>
        <w:rPr>
          <w:rFonts w:cs="Arial"/>
        </w:rPr>
      </w:pPr>
      <w:r w:rsidRPr="00317DEE">
        <w:rPr>
          <w:rFonts w:cs="Arial"/>
        </w:rPr>
        <w:t xml:space="preserve">A further pressure experienced in 2017/18 relates to a budget saving of £1.000m for a revised non-residential charging policy which has been delayed until 2018/19. This has now been through the consultation process and was agreed following consultation by Cabinet in April 2018. This is currently being implemented, therefore the saving will be achieved in 2018/19. </w:t>
      </w:r>
    </w:p>
    <w:p w:rsidR="00026737" w:rsidRDefault="00A953D6" w:rsidP="00026737">
      <w:pPr>
        <w:autoSpaceDE/>
        <w:autoSpaceDN/>
        <w:adjustRightInd/>
        <w:spacing w:after="0" w:line="259" w:lineRule="auto"/>
        <w:rPr>
          <w:rFonts w:cs="Arial"/>
        </w:rPr>
      </w:pPr>
    </w:p>
    <w:p w:rsidR="00026737" w:rsidRDefault="00A953D6" w:rsidP="00026737">
      <w:pPr>
        <w:spacing w:after="0"/>
        <w:rPr>
          <w:rFonts w:cs="Arial"/>
          <w:b/>
          <w:color w:val="auto"/>
        </w:rPr>
      </w:pPr>
    </w:p>
    <w:p w:rsidR="00026737" w:rsidRDefault="008A011B" w:rsidP="00026737">
      <w:pPr>
        <w:autoSpaceDE/>
        <w:autoSpaceDN/>
        <w:adjustRightInd/>
        <w:spacing w:after="0"/>
        <w:jc w:val="left"/>
        <w:rPr>
          <w:rFonts w:eastAsia="Times New Roman" w:cs="Arial"/>
          <w:b/>
          <w:lang w:eastAsia="en-GB"/>
        </w:rPr>
      </w:pPr>
      <w:r>
        <w:rPr>
          <w:rFonts w:cs="Arial"/>
          <w:b/>
          <w:u w:val="single"/>
        </w:rPr>
        <w:br w:type="page"/>
      </w:r>
      <w:r w:rsidRPr="00384380">
        <w:rPr>
          <w:rFonts w:cs="Arial"/>
          <w:b/>
        </w:rPr>
        <w:lastRenderedPageBreak/>
        <w:t xml:space="preserve">3.2 </w:t>
      </w:r>
      <w:r>
        <w:rPr>
          <w:rFonts w:cs="Arial"/>
          <w:b/>
        </w:rPr>
        <w:tab/>
      </w:r>
      <w:r w:rsidRPr="00384380">
        <w:rPr>
          <w:rFonts w:eastAsia="Times New Roman" w:cs="Arial"/>
          <w:b/>
          <w:lang w:eastAsia="en-GB"/>
        </w:rPr>
        <w:t>Children's</w:t>
      </w:r>
      <w:r>
        <w:rPr>
          <w:rFonts w:eastAsia="Times New Roman" w:cs="Arial"/>
          <w:b/>
          <w:lang w:eastAsia="en-GB"/>
        </w:rPr>
        <w:t xml:space="preserve"> Services </w:t>
      </w:r>
    </w:p>
    <w:p w:rsidR="00026737" w:rsidRDefault="00A953D6" w:rsidP="00026737">
      <w:pPr>
        <w:tabs>
          <w:tab w:val="left" w:pos="0"/>
          <w:tab w:val="left" w:pos="1418"/>
        </w:tabs>
        <w:contextualSpacing/>
        <w:rPr>
          <w:rFonts w:cs="Arial"/>
        </w:rPr>
      </w:pPr>
    </w:p>
    <w:tbl>
      <w:tblPr>
        <w:tblW w:w="8947" w:type="dxa"/>
        <w:tblLook w:val="04A0" w:firstRow="1" w:lastRow="0" w:firstColumn="1" w:lastColumn="0" w:noHBand="0" w:noVBand="1"/>
      </w:tblPr>
      <w:tblGrid>
        <w:gridCol w:w="706"/>
        <w:gridCol w:w="2573"/>
        <w:gridCol w:w="1243"/>
        <w:gridCol w:w="1023"/>
        <w:gridCol w:w="1134"/>
        <w:gridCol w:w="1134"/>
        <w:gridCol w:w="1134"/>
      </w:tblGrid>
      <w:tr w:rsidR="006D1BD3" w:rsidTr="00026737">
        <w:trPr>
          <w:trHeight w:val="859"/>
        </w:trPr>
        <w:tc>
          <w:tcPr>
            <w:tcW w:w="621"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339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Head </w:t>
            </w:r>
            <w:r>
              <w:rPr>
                <w:rFonts w:eastAsia="Times New Roman" w:cs="Arial"/>
                <w:b/>
                <w:bCs/>
                <w:sz w:val="22"/>
                <w:szCs w:val="22"/>
                <w:lang w:eastAsia="en-GB"/>
              </w:rPr>
              <w:t>o</w:t>
            </w:r>
            <w:r w:rsidRPr="00F97006">
              <w:rPr>
                <w:rFonts w:eastAsia="Times New Roman" w:cs="Arial"/>
                <w:b/>
                <w:bCs/>
                <w:sz w:val="22"/>
                <w:szCs w:val="22"/>
                <w:lang w:eastAsia="en-GB"/>
              </w:rPr>
              <w:t>f Service</w:t>
            </w:r>
          </w:p>
        </w:tc>
        <w:tc>
          <w:tcPr>
            <w:tcW w:w="108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893"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98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98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98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340"/>
        </w:trPr>
        <w:tc>
          <w:tcPr>
            <w:tcW w:w="621"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3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08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93"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3.2.1</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Children's Services</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-1.217</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-1.349</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-0.132</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-0.168</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10.85%</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3.2.2</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Sen &amp; Disability</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16.797</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F93B6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16</w:t>
            </w:r>
            <w:r w:rsidR="008A011B" w:rsidRPr="00F97006">
              <w:rPr>
                <w:rFonts w:eastAsia="Times New Roman" w:cs="Arial"/>
                <w:sz w:val="22"/>
                <w:szCs w:val="22"/>
                <w:lang w:eastAsia="en-GB"/>
              </w:rPr>
              <w:t>.519</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-0.278</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-1.231</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F93B6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w:t>
            </w:r>
            <w:r w:rsidR="008A011B" w:rsidRPr="00F97006">
              <w:rPr>
                <w:rFonts w:eastAsia="Times New Roman" w:cs="Arial"/>
                <w:sz w:val="22"/>
                <w:szCs w:val="22"/>
                <w:lang w:eastAsia="en-GB"/>
              </w:rPr>
              <w:t>1.66%</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3.2.3</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Safeguarding Inspec &amp; Audit</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10.548</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10.932</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0.384</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0.442</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3.64%</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3.2.4</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Adoption &amp; Fostering  Residential &amp; YOT</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27.955</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26.452</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-1.503</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-1.613</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-5.38%</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3.2.5</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Children Social Care</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91.295</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97.312</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6.017</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4.778</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6.59%</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3.2.6</w:t>
            </w:r>
          </w:p>
        </w:tc>
        <w:tc>
          <w:tcPr>
            <w:tcW w:w="33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School Improvement</w:t>
            </w:r>
          </w:p>
        </w:tc>
        <w:tc>
          <w:tcPr>
            <w:tcW w:w="108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6.196</w:t>
            </w:r>
          </w:p>
        </w:tc>
        <w:tc>
          <w:tcPr>
            <w:tcW w:w="89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5.395</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-0.801</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-0.655</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-12.93%</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3.2.7</w:t>
            </w:r>
          </w:p>
        </w:tc>
        <w:tc>
          <w:tcPr>
            <w:tcW w:w="33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color w:val="auto"/>
                <w:sz w:val="22"/>
                <w:szCs w:val="22"/>
                <w:lang w:eastAsia="en-GB"/>
              </w:rPr>
            </w:pPr>
            <w:r w:rsidRPr="00F97006">
              <w:rPr>
                <w:rFonts w:eastAsia="Times New Roman" w:cs="Arial"/>
                <w:color w:val="auto"/>
                <w:sz w:val="22"/>
                <w:szCs w:val="22"/>
                <w:lang w:eastAsia="en-GB"/>
              </w:rPr>
              <w:t>Learning &amp; Skills</w:t>
            </w:r>
          </w:p>
        </w:tc>
        <w:tc>
          <w:tcPr>
            <w:tcW w:w="108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color w:val="auto"/>
                <w:sz w:val="22"/>
                <w:szCs w:val="22"/>
                <w:lang w:eastAsia="en-GB"/>
              </w:rPr>
            </w:pPr>
            <w:r w:rsidRPr="00F97006">
              <w:rPr>
                <w:rFonts w:eastAsia="Times New Roman" w:cs="Arial"/>
                <w:color w:val="auto"/>
                <w:sz w:val="22"/>
                <w:szCs w:val="22"/>
                <w:lang w:eastAsia="en-GB"/>
              </w:rPr>
              <w:t>-5.001</w:t>
            </w:r>
          </w:p>
        </w:tc>
        <w:tc>
          <w:tcPr>
            <w:tcW w:w="89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color w:val="auto"/>
                <w:sz w:val="22"/>
                <w:szCs w:val="22"/>
                <w:lang w:eastAsia="en-GB"/>
              </w:rPr>
            </w:pPr>
            <w:r w:rsidRPr="00F97006">
              <w:rPr>
                <w:rFonts w:eastAsia="Times New Roman" w:cs="Arial"/>
                <w:color w:val="auto"/>
                <w:sz w:val="22"/>
                <w:szCs w:val="22"/>
                <w:lang w:eastAsia="en-GB"/>
              </w:rPr>
              <w:t>-4.089</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color w:val="auto"/>
                <w:sz w:val="22"/>
                <w:szCs w:val="22"/>
                <w:lang w:eastAsia="en-GB"/>
              </w:rPr>
            </w:pPr>
            <w:r w:rsidRPr="00F97006">
              <w:rPr>
                <w:rFonts w:eastAsia="Times New Roman" w:cs="Arial"/>
                <w:color w:val="auto"/>
                <w:sz w:val="22"/>
                <w:szCs w:val="22"/>
                <w:lang w:eastAsia="en-GB"/>
              </w:rPr>
              <w:t>0.912</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0.931</w:t>
            </w:r>
          </w:p>
        </w:tc>
        <w:tc>
          <w:tcPr>
            <w:tcW w:w="9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color w:val="auto"/>
                <w:sz w:val="22"/>
                <w:szCs w:val="22"/>
                <w:lang w:eastAsia="en-GB"/>
              </w:rPr>
            </w:pPr>
            <w:r w:rsidRPr="00F97006">
              <w:rPr>
                <w:rFonts w:eastAsia="Times New Roman" w:cs="Arial"/>
                <w:color w:val="auto"/>
                <w:sz w:val="22"/>
                <w:szCs w:val="22"/>
                <w:lang w:eastAsia="en-GB"/>
              </w:rPr>
              <w:t>-18.24%</w:t>
            </w:r>
          </w:p>
        </w:tc>
      </w:tr>
      <w:tr w:rsidR="006D1BD3" w:rsidTr="00026737">
        <w:trPr>
          <w:trHeight w:val="605"/>
        </w:trPr>
        <w:tc>
          <w:tcPr>
            <w:tcW w:w="62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3.2.8</w:t>
            </w:r>
          </w:p>
        </w:tc>
        <w:tc>
          <w:tcPr>
            <w:tcW w:w="33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Policy Info &amp; Commission Start Well</w:t>
            </w:r>
          </w:p>
        </w:tc>
        <w:tc>
          <w:tcPr>
            <w:tcW w:w="108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0.594</w:t>
            </w:r>
          </w:p>
        </w:tc>
        <w:tc>
          <w:tcPr>
            <w:tcW w:w="89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0.768</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0.174</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9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29.29%</w:t>
            </w:r>
          </w:p>
        </w:tc>
      </w:tr>
      <w:tr w:rsidR="006D1BD3" w:rsidTr="00026737">
        <w:trPr>
          <w:trHeight w:val="627"/>
        </w:trPr>
        <w:tc>
          <w:tcPr>
            <w:tcW w:w="621"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3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Children's Services</w:t>
            </w:r>
          </w:p>
        </w:tc>
        <w:tc>
          <w:tcPr>
            <w:tcW w:w="108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147.167</w:t>
            </w:r>
          </w:p>
        </w:tc>
        <w:tc>
          <w:tcPr>
            <w:tcW w:w="893"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151.940</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4.773</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2.484</w:t>
            </w:r>
          </w:p>
        </w:tc>
        <w:tc>
          <w:tcPr>
            <w:tcW w:w="9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3.24%</w:t>
            </w:r>
          </w:p>
        </w:tc>
      </w:tr>
    </w:tbl>
    <w:p w:rsidR="00026737" w:rsidRDefault="00A953D6" w:rsidP="00026737">
      <w:pPr>
        <w:tabs>
          <w:tab w:val="left" w:pos="0"/>
          <w:tab w:val="left" w:pos="1418"/>
        </w:tabs>
        <w:contextualSpacing/>
        <w:rPr>
          <w:rFonts w:cs="Arial"/>
        </w:rPr>
      </w:pPr>
    </w:p>
    <w:p w:rsidR="00026737" w:rsidRDefault="008A011B" w:rsidP="00026737">
      <w:pPr>
        <w:tabs>
          <w:tab w:val="left" w:pos="0"/>
          <w:tab w:val="left" w:pos="1418"/>
        </w:tabs>
        <w:contextualSpacing/>
        <w:rPr>
          <w:rFonts w:cs="Arial"/>
        </w:rPr>
      </w:pPr>
      <w:r w:rsidRPr="00B83166">
        <w:rPr>
          <w:rFonts w:cs="Arial"/>
        </w:rPr>
        <w:t>Children's Services overspent by £4.</w:t>
      </w:r>
      <w:r>
        <w:rPr>
          <w:rFonts w:cs="Arial"/>
        </w:rPr>
        <w:t>773</w:t>
      </w:r>
      <w:r w:rsidRPr="00B83166">
        <w:rPr>
          <w:rFonts w:cs="Arial"/>
        </w:rPr>
        <w:t xml:space="preserve">m in 2017/18 against </w:t>
      </w:r>
      <w:r>
        <w:rPr>
          <w:rFonts w:cs="Arial"/>
        </w:rPr>
        <w:t xml:space="preserve">a budget of </w:t>
      </w:r>
      <w:r w:rsidRPr="00B83166">
        <w:rPr>
          <w:rFonts w:cs="Arial"/>
        </w:rPr>
        <w:t>£14</w:t>
      </w:r>
      <w:r>
        <w:rPr>
          <w:rFonts w:cs="Arial"/>
        </w:rPr>
        <w:t>7</w:t>
      </w:r>
      <w:r w:rsidRPr="00B83166">
        <w:rPr>
          <w:rFonts w:cs="Arial"/>
        </w:rPr>
        <w:t>.167m.  This is an increase of £</w:t>
      </w:r>
      <w:r>
        <w:rPr>
          <w:rFonts w:cs="Arial"/>
        </w:rPr>
        <w:t>2.289</w:t>
      </w:r>
      <w:r w:rsidRPr="00B83166">
        <w:rPr>
          <w:rFonts w:cs="Arial"/>
        </w:rPr>
        <w:t>m from the forecast outturn reported to Cabine</w:t>
      </w:r>
      <w:r>
        <w:rPr>
          <w:rFonts w:cs="Arial"/>
        </w:rPr>
        <w:t xml:space="preserve">t at </w:t>
      </w:r>
      <w:r>
        <w:rPr>
          <w:rFonts w:cs="Arial"/>
        </w:rPr>
        <w:br/>
        <w:t xml:space="preserve">Quarter 3. </w:t>
      </w:r>
    </w:p>
    <w:p w:rsidR="00026737" w:rsidRPr="00E17058" w:rsidRDefault="00A953D6" w:rsidP="00026737">
      <w:pPr>
        <w:spacing w:after="0"/>
      </w:pPr>
    </w:p>
    <w:p w:rsidR="00026737" w:rsidRPr="00336A48" w:rsidRDefault="008A011B" w:rsidP="00026737">
      <w:pPr>
        <w:contextualSpacing/>
        <w:rPr>
          <w:rFonts w:cs="Arial"/>
        </w:rPr>
      </w:pPr>
      <w:r w:rsidRPr="00C80EFE">
        <w:rPr>
          <w:rFonts w:cs="Arial"/>
          <w:b/>
          <w:i/>
        </w:rPr>
        <w:t>3.2.2 Special Education Needs and Disability (SEND)</w:t>
      </w:r>
      <w:r w:rsidRPr="00336A48">
        <w:rPr>
          <w:rFonts w:cs="Arial"/>
        </w:rPr>
        <w:t xml:space="preserve"> underspent by £0.</w:t>
      </w:r>
      <w:r>
        <w:rPr>
          <w:rFonts w:cs="Arial"/>
        </w:rPr>
        <w:t xml:space="preserve">278m in 2017/18, which is a reduction of £0.953m compared to the forecast at Quarter 3. This change is mainly due to a provision that has been created in respect of safeguarding costs incurred in a school. The service's underspends are mainly due to staff vacancies and the recovery of Direct Payments through clawback processes, with these offset by an overspend in family support and the additional costs of the provision to support a school. </w:t>
      </w:r>
    </w:p>
    <w:p w:rsidR="00026737" w:rsidRPr="00C50AA3" w:rsidRDefault="00A953D6" w:rsidP="00026737">
      <w:pPr>
        <w:spacing w:after="0"/>
        <w:contextualSpacing/>
        <w:rPr>
          <w:rFonts w:eastAsiaTheme="minorHAnsi" w:cs="Times New Roman"/>
          <w:color w:val="auto"/>
          <w:sz w:val="22"/>
          <w:szCs w:val="22"/>
        </w:rPr>
      </w:pPr>
    </w:p>
    <w:p w:rsidR="00026737" w:rsidRPr="00336A48" w:rsidRDefault="008A011B" w:rsidP="00026737">
      <w:pPr>
        <w:contextualSpacing/>
        <w:rPr>
          <w:rFonts w:cs="Arial"/>
        </w:rPr>
      </w:pPr>
      <w:r w:rsidRPr="00C80EFE">
        <w:rPr>
          <w:rFonts w:cs="Arial"/>
          <w:b/>
          <w:i/>
        </w:rPr>
        <w:t>3.2.3 Safeguarding, Inspection and Audit (SIA)</w:t>
      </w:r>
      <w:r w:rsidRPr="00336A48">
        <w:rPr>
          <w:rFonts w:cs="Arial"/>
        </w:rPr>
        <w:t xml:space="preserve"> </w:t>
      </w:r>
      <w:r>
        <w:rPr>
          <w:rFonts w:cs="Arial"/>
        </w:rPr>
        <w:t>overspent by £0.384m in 2017/18 and has not changed significantly from Quarter 3. This variance is predominantly due to the use of agency staff to fill vacant posts.</w:t>
      </w:r>
    </w:p>
    <w:p w:rsidR="00026737" w:rsidRDefault="00A953D6" w:rsidP="00026737">
      <w:pPr>
        <w:tabs>
          <w:tab w:val="left" w:pos="851"/>
          <w:tab w:val="left" w:pos="1418"/>
        </w:tabs>
        <w:spacing w:after="0"/>
        <w:contextualSpacing/>
        <w:rPr>
          <w:rFonts w:cs="Arial"/>
          <w:b/>
        </w:rPr>
      </w:pPr>
    </w:p>
    <w:p w:rsidR="00026737" w:rsidRDefault="008A011B" w:rsidP="00026737">
      <w:pPr>
        <w:spacing w:after="0"/>
        <w:rPr>
          <w:rFonts w:cs="Arial"/>
        </w:rPr>
      </w:pPr>
      <w:r w:rsidRPr="00C80EFE">
        <w:rPr>
          <w:rFonts w:cs="Arial"/>
          <w:b/>
          <w:i/>
        </w:rPr>
        <w:t>3.2.4 Adoption, Fostering, Residential and Youth Offending Team</w:t>
      </w:r>
      <w:r w:rsidRPr="001A56D2">
        <w:rPr>
          <w:rFonts w:cs="Arial"/>
        </w:rPr>
        <w:t xml:space="preserve"> </w:t>
      </w:r>
      <w:r>
        <w:rPr>
          <w:rFonts w:cs="Arial"/>
        </w:rPr>
        <w:t xml:space="preserve">has </w:t>
      </w:r>
      <w:r w:rsidRPr="001A56D2">
        <w:rPr>
          <w:rFonts w:cs="Arial"/>
        </w:rPr>
        <w:t>u</w:t>
      </w:r>
      <w:r>
        <w:rPr>
          <w:rFonts w:cs="Arial"/>
        </w:rPr>
        <w:t xml:space="preserve">nderspent by £1.503m in 2017/18 which has not changed significantly from forecasts at Quarter 3. The service are experiencing underspends across staffing, fostering allowances and in the residential in-house provision. </w:t>
      </w:r>
    </w:p>
    <w:p w:rsidR="00026737" w:rsidRDefault="00A953D6" w:rsidP="00026737">
      <w:pPr>
        <w:contextualSpacing/>
        <w:rPr>
          <w:rFonts w:cs="Arial"/>
          <w:b/>
        </w:rPr>
      </w:pPr>
    </w:p>
    <w:p w:rsidR="00026737" w:rsidRDefault="008A011B" w:rsidP="00026737">
      <w:pPr>
        <w:spacing w:after="0"/>
        <w:rPr>
          <w:rFonts w:cs="Arial"/>
        </w:rPr>
      </w:pPr>
      <w:r w:rsidRPr="00C80EFE">
        <w:rPr>
          <w:rFonts w:cs="Arial"/>
          <w:b/>
          <w:i/>
        </w:rPr>
        <w:t>3.2.5 Children's Social Care</w:t>
      </w:r>
      <w:r w:rsidRPr="00A02550">
        <w:rPr>
          <w:rFonts w:cs="Arial"/>
        </w:rPr>
        <w:t xml:space="preserve"> has reported an overspend position of £6.017m for 2017/18.  This is an increased overspend as a result of additional placements costs compared to the forecast at Quarter 3. The overspend is due to overspends on staffing </w:t>
      </w:r>
      <w:r w:rsidRPr="00A02550">
        <w:rPr>
          <w:rFonts w:cs="Arial"/>
        </w:rPr>
        <w:lastRenderedPageBreak/>
        <w:t>(£</w:t>
      </w:r>
      <w:r>
        <w:rPr>
          <w:rFonts w:cs="Arial"/>
        </w:rPr>
        <w:t>2.397</w:t>
      </w:r>
      <w:r w:rsidRPr="00A02550">
        <w:rPr>
          <w:rFonts w:cs="Arial"/>
        </w:rPr>
        <w:t>m), placement costs (net £</w:t>
      </w:r>
      <w:r>
        <w:rPr>
          <w:rFonts w:cs="Arial"/>
        </w:rPr>
        <w:t>2.228</w:t>
      </w:r>
      <w:r w:rsidRPr="00A02550">
        <w:rPr>
          <w:rFonts w:cs="Arial"/>
        </w:rPr>
        <w:t>m), Special Guardianship Orders and Assistance to Families (£2.213m). There are underspends a</w:t>
      </w:r>
      <w:r>
        <w:rPr>
          <w:rFonts w:cs="Arial"/>
        </w:rPr>
        <w:t xml:space="preserve">cross areas such as staying put and </w:t>
      </w:r>
      <w:r w:rsidRPr="00A02550">
        <w:rPr>
          <w:rFonts w:cs="Arial"/>
        </w:rPr>
        <w:t xml:space="preserve">leaving care allowances that </w:t>
      </w:r>
      <w:r>
        <w:rPr>
          <w:rFonts w:cs="Arial"/>
        </w:rPr>
        <w:t xml:space="preserve">partially </w:t>
      </w:r>
      <w:r w:rsidRPr="00A02550">
        <w:rPr>
          <w:rFonts w:cs="Arial"/>
        </w:rPr>
        <w:t>offset these overspends.</w:t>
      </w:r>
    </w:p>
    <w:p w:rsidR="00026737" w:rsidRDefault="00A953D6" w:rsidP="00026737">
      <w:pPr>
        <w:spacing w:after="0"/>
        <w:rPr>
          <w:b/>
        </w:rPr>
      </w:pPr>
    </w:p>
    <w:p w:rsidR="00026737" w:rsidRPr="00336A48" w:rsidRDefault="008A011B" w:rsidP="00026737">
      <w:pPr>
        <w:contextualSpacing/>
        <w:rPr>
          <w:rFonts w:cs="Arial"/>
        </w:rPr>
      </w:pPr>
      <w:r w:rsidRPr="00C80EFE">
        <w:rPr>
          <w:rFonts w:cs="Arial"/>
          <w:b/>
          <w:i/>
        </w:rPr>
        <w:t>3.2.6 School Improvement</w:t>
      </w:r>
      <w:r w:rsidRPr="00336A48">
        <w:rPr>
          <w:rFonts w:cs="Arial"/>
        </w:rPr>
        <w:t xml:space="preserve"> achieved a positive variance compared to budget of £0.801m in 2017/1</w:t>
      </w:r>
      <w:r>
        <w:rPr>
          <w:rFonts w:cs="Arial"/>
        </w:rPr>
        <w:t xml:space="preserve">8 </w:t>
      </w:r>
      <w:r w:rsidRPr="009F00A1">
        <w:rPr>
          <w:rFonts w:cs="Arial"/>
        </w:rPr>
        <w:t>predominantly</w:t>
      </w:r>
      <w:r>
        <w:rPr>
          <w:rFonts w:cs="Arial"/>
        </w:rPr>
        <w:t xml:space="preserve"> as a result of staff vacancies and additional income. This has improved compared to Quarter 3 due to additional income.  </w:t>
      </w:r>
    </w:p>
    <w:p w:rsidR="00026737" w:rsidRPr="00F903A6" w:rsidRDefault="00A953D6" w:rsidP="00026737">
      <w:pPr>
        <w:tabs>
          <w:tab w:val="left" w:pos="851"/>
          <w:tab w:val="left" w:pos="1418"/>
        </w:tabs>
        <w:spacing w:after="0"/>
        <w:contextualSpacing/>
      </w:pPr>
    </w:p>
    <w:p w:rsidR="00026737" w:rsidRDefault="008A011B" w:rsidP="00026737">
      <w:pPr>
        <w:spacing w:after="0"/>
        <w:contextualSpacing/>
        <w:rPr>
          <w:rFonts w:cs="Arial"/>
        </w:rPr>
      </w:pPr>
      <w:r w:rsidRPr="00C80EFE">
        <w:rPr>
          <w:rFonts w:cs="Arial"/>
          <w:b/>
          <w:i/>
        </w:rPr>
        <w:t>3.2.7 Learning and Skills Service (Traded Services – Start Well)</w:t>
      </w:r>
      <w:r w:rsidRPr="00336A48">
        <w:rPr>
          <w:rFonts w:cs="Arial"/>
        </w:rPr>
        <w:t xml:space="preserve"> achieved a negative variance of £0.912m in 2017/18 (i.e. overspe</w:t>
      </w:r>
      <w:r>
        <w:rPr>
          <w:rFonts w:cs="Arial"/>
        </w:rPr>
        <w:t>nt by £0.912m), which is broadly the same as the forecast at Quarter 3. The negative position is due to the following:</w:t>
      </w:r>
    </w:p>
    <w:p w:rsidR="00026737" w:rsidRDefault="00A953D6" w:rsidP="00026737">
      <w:pPr>
        <w:spacing w:after="0"/>
        <w:contextualSpacing/>
        <w:rPr>
          <w:rFonts w:cs="Arial"/>
        </w:rPr>
      </w:pPr>
    </w:p>
    <w:p w:rsidR="00026737" w:rsidRDefault="008A011B" w:rsidP="00026737">
      <w:pPr>
        <w:pStyle w:val="ListParagraph"/>
        <w:numPr>
          <w:ilvl w:val="0"/>
          <w:numId w:val="27"/>
        </w:numPr>
        <w:autoSpaceDE/>
        <w:autoSpaceDN/>
        <w:adjustRightInd/>
        <w:spacing w:after="0" w:line="259" w:lineRule="auto"/>
        <w:rPr>
          <w:rFonts w:cs="Arial"/>
        </w:rPr>
      </w:pPr>
      <w:r>
        <w:rPr>
          <w:rFonts w:cs="Arial"/>
        </w:rPr>
        <w:t xml:space="preserve">School Catering pressures due to difficulties in fully achieving a £2.000m additional income target and increases in food costs. </w:t>
      </w:r>
    </w:p>
    <w:p w:rsidR="00026737" w:rsidRDefault="008A011B" w:rsidP="00026737">
      <w:pPr>
        <w:pStyle w:val="ListParagraph"/>
        <w:numPr>
          <w:ilvl w:val="0"/>
          <w:numId w:val="27"/>
        </w:numPr>
        <w:autoSpaceDE/>
        <w:autoSpaceDN/>
        <w:adjustRightInd/>
        <w:spacing w:after="0" w:line="259" w:lineRule="auto"/>
        <w:rPr>
          <w:rFonts w:cs="Arial"/>
        </w:rPr>
      </w:pPr>
      <w:r w:rsidRPr="009F00A1">
        <w:rPr>
          <w:rFonts w:cs="Arial"/>
        </w:rPr>
        <w:t xml:space="preserve">Outdoor Education is forecast to overspend as a result of the closure of Whitehough.  Whilst costs across the service have reduced following the closure of the centre, the transfer of customers from Whitehough to other LCC outdoor education centres, which was assumed in the savings proposal, has not materialised and so the service is reviewing alternative actions to achieve the saving.  </w:t>
      </w:r>
    </w:p>
    <w:p w:rsidR="00026737" w:rsidRPr="009F00A1" w:rsidRDefault="008A011B" w:rsidP="00026737">
      <w:pPr>
        <w:pStyle w:val="ListParagraph"/>
        <w:numPr>
          <w:ilvl w:val="0"/>
          <w:numId w:val="27"/>
        </w:numPr>
        <w:autoSpaceDE/>
        <w:autoSpaceDN/>
        <w:adjustRightInd/>
        <w:spacing w:after="0" w:line="259" w:lineRule="auto"/>
        <w:rPr>
          <w:rFonts w:cs="Arial"/>
        </w:rPr>
      </w:pPr>
      <w:r w:rsidRPr="009F00A1">
        <w:rPr>
          <w:rFonts w:cs="Arial"/>
        </w:rPr>
        <w:t>Learning Excellence is forecast to overspend largely due to a decrease in income through the decline of course bookings from schools as a result of the closure of a conferencing centre. The service is working towards mitigating against this through</w:t>
      </w:r>
      <w:r>
        <w:rPr>
          <w:rFonts w:cs="Arial"/>
        </w:rPr>
        <w:t xml:space="preserve"> use of other </w:t>
      </w:r>
      <w:r w:rsidRPr="009F00A1">
        <w:rPr>
          <w:rFonts w:cs="Arial"/>
        </w:rPr>
        <w:t xml:space="preserve">venues.  </w:t>
      </w:r>
    </w:p>
    <w:p w:rsidR="00026737" w:rsidRPr="00336A48" w:rsidRDefault="00A953D6" w:rsidP="00026737">
      <w:pPr>
        <w:spacing w:after="0"/>
        <w:contextualSpacing/>
        <w:rPr>
          <w:rFonts w:cs="Arial"/>
        </w:rPr>
      </w:pPr>
    </w:p>
    <w:p w:rsidR="00026737" w:rsidRPr="00CC453F" w:rsidRDefault="008A011B" w:rsidP="00026737">
      <w:pPr>
        <w:autoSpaceDE/>
        <w:autoSpaceDN/>
        <w:adjustRightInd/>
        <w:spacing w:after="0"/>
        <w:jc w:val="left"/>
        <w:rPr>
          <w:b/>
          <w:bCs/>
        </w:rPr>
      </w:pPr>
      <w:r>
        <w:rPr>
          <w:b/>
          <w:bCs/>
        </w:rPr>
        <w:br w:type="page"/>
      </w:r>
    </w:p>
    <w:p w:rsidR="00026737" w:rsidRDefault="008A011B" w:rsidP="00026737">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3</w:t>
      </w:r>
      <w:r w:rsidRPr="00FB36C0">
        <w:rPr>
          <w:rFonts w:eastAsia="Times New Roman" w:cs="Arial"/>
          <w:b/>
          <w:lang w:eastAsia="en-GB"/>
        </w:rPr>
        <w:tab/>
      </w:r>
      <w:r>
        <w:rPr>
          <w:rFonts w:eastAsia="Times New Roman" w:cs="Arial"/>
          <w:b/>
          <w:lang w:eastAsia="en-GB"/>
        </w:rPr>
        <w:t xml:space="preserve">Community Services </w:t>
      </w:r>
    </w:p>
    <w:p w:rsidR="00026737" w:rsidRDefault="00A953D6" w:rsidP="00026737">
      <w:pPr>
        <w:spacing w:after="0"/>
        <w:rPr>
          <w:rFonts w:cs="Arial"/>
        </w:rPr>
      </w:pPr>
    </w:p>
    <w:tbl>
      <w:tblPr>
        <w:tblW w:w="9050" w:type="dxa"/>
        <w:tblLook w:val="04A0" w:firstRow="1" w:lastRow="0" w:firstColumn="1" w:lastColumn="0" w:noHBand="0" w:noVBand="1"/>
      </w:tblPr>
      <w:tblGrid>
        <w:gridCol w:w="706"/>
        <w:gridCol w:w="2676"/>
        <w:gridCol w:w="1243"/>
        <w:gridCol w:w="1023"/>
        <w:gridCol w:w="1134"/>
        <w:gridCol w:w="1134"/>
        <w:gridCol w:w="1134"/>
      </w:tblGrid>
      <w:tr w:rsidR="006D1BD3" w:rsidTr="00026737">
        <w:trPr>
          <w:trHeight w:val="632"/>
        </w:trPr>
        <w:tc>
          <w:tcPr>
            <w:tcW w:w="614" w:type="dxa"/>
            <w:tcBorders>
              <w:top w:val="single" w:sz="4" w:space="0" w:color="auto"/>
              <w:left w:val="single" w:sz="4" w:space="0" w:color="auto"/>
              <w:bottom w:val="nil"/>
              <w:right w:val="single" w:sz="4" w:space="0" w:color="auto"/>
            </w:tcBorders>
            <w:shd w:val="clear" w:color="000000" w:fill="D9D9D9"/>
            <w:hideMark/>
          </w:tcPr>
          <w:p w:rsidR="00026737" w:rsidRPr="00F97006" w:rsidRDefault="00A953D6" w:rsidP="00026737">
            <w:pPr>
              <w:autoSpaceDE/>
              <w:autoSpaceDN/>
              <w:adjustRightInd/>
              <w:spacing w:after="0"/>
              <w:jc w:val="center"/>
              <w:rPr>
                <w:rFonts w:eastAsia="Times New Roman" w:cs="Arial"/>
                <w:b/>
                <w:bCs/>
                <w:sz w:val="22"/>
                <w:szCs w:val="22"/>
                <w:lang w:eastAsia="en-GB"/>
              </w:rPr>
            </w:pPr>
          </w:p>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3904" w:type="dxa"/>
            <w:tcBorders>
              <w:top w:val="single" w:sz="4" w:space="0" w:color="auto"/>
              <w:left w:val="nil"/>
              <w:bottom w:val="nil"/>
              <w:right w:val="single" w:sz="4" w:space="0" w:color="auto"/>
            </w:tcBorders>
            <w:shd w:val="clear" w:color="000000" w:fill="D9D9D9"/>
            <w:hideMark/>
          </w:tcPr>
          <w:p w:rsidR="00026737" w:rsidRPr="00F97006" w:rsidRDefault="00A953D6" w:rsidP="00026737">
            <w:pPr>
              <w:autoSpaceDE/>
              <w:autoSpaceDN/>
              <w:adjustRightInd/>
              <w:spacing w:after="0"/>
              <w:jc w:val="center"/>
              <w:rPr>
                <w:rFonts w:eastAsia="Times New Roman" w:cs="Arial"/>
                <w:b/>
                <w:bCs/>
                <w:sz w:val="22"/>
                <w:szCs w:val="22"/>
                <w:lang w:eastAsia="en-GB"/>
              </w:rPr>
            </w:pPr>
          </w:p>
          <w:p w:rsidR="00026737" w:rsidRPr="00F97006" w:rsidRDefault="008A011B"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Head o</w:t>
            </w:r>
            <w:r w:rsidRPr="00F97006">
              <w:rPr>
                <w:rFonts w:eastAsia="Times New Roman" w:cs="Arial"/>
                <w:b/>
                <w:bCs/>
                <w:sz w:val="22"/>
                <w:szCs w:val="22"/>
                <w:lang w:eastAsia="en-GB"/>
              </w:rPr>
              <w:t>f Service</w:t>
            </w:r>
          </w:p>
        </w:tc>
        <w:tc>
          <w:tcPr>
            <w:tcW w:w="968" w:type="dxa"/>
            <w:tcBorders>
              <w:top w:val="single" w:sz="4" w:space="0" w:color="auto"/>
              <w:left w:val="nil"/>
              <w:bottom w:val="nil"/>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Approved Budget </w:t>
            </w:r>
          </w:p>
        </w:tc>
        <w:tc>
          <w:tcPr>
            <w:tcW w:w="891" w:type="dxa"/>
            <w:tcBorders>
              <w:top w:val="single" w:sz="4" w:space="0" w:color="auto"/>
              <w:left w:val="nil"/>
              <w:bottom w:val="nil"/>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Outturn </w:t>
            </w:r>
          </w:p>
        </w:tc>
        <w:tc>
          <w:tcPr>
            <w:tcW w:w="891" w:type="dxa"/>
            <w:tcBorders>
              <w:top w:val="single" w:sz="4" w:space="0" w:color="auto"/>
              <w:left w:val="nil"/>
              <w:bottom w:val="nil"/>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Outturn Variance </w:t>
            </w:r>
          </w:p>
        </w:tc>
        <w:tc>
          <w:tcPr>
            <w:tcW w:w="891" w:type="dxa"/>
            <w:tcBorders>
              <w:top w:val="single" w:sz="4" w:space="0" w:color="auto"/>
              <w:left w:val="nil"/>
              <w:bottom w:val="nil"/>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Q3 Forecast Variance </w:t>
            </w:r>
          </w:p>
        </w:tc>
        <w:tc>
          <w:tcPr>
            <w:tcW w:w="891" w:type="dxa"/>
            <w:tcBorders>
              <w:top w:val="single" w:sz="4" w:space="0" w:color="auto"/>
              <w:left w:val="nil"/>
              <w:bottom w:val="nil"/>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340"/>
        </w:trPr>
        <w:tc>
          <w:tcPr>
            <w:tcW w:w="614"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90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968"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9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9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9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9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462"/>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3.3.1</w:t>
            </w:r>
          </w:p>
        </w:tc>
        <w:tc>
          <w:tcPr>
            <w:tcW w:w="390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Highways</w:t>
            </w:r>
          </w:p>
        </w:tc>
        <w:tc>
          <w:tcPr>
            <w:tcW w:w="968"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18.054</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13.296</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-4.758</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-6.916</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-26.35%</w:t>
            </w:r>
          </w:p>
        </w:tc>
      </w:tr>
      <w:tr w:rsidR="006D1BD3" w:rsidTr="00026737">
        <w:trPr>
          <w:trHeight w:val="462"/>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3.3.2</w:t>
            </w:r>
          </w:p>
        </w:tc>
        <w:tc>
          <w:tcPr>
            <w:tcW w:w="390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Libraries, Museums, Culture &amp; Registrars</w:t>
            </w:r>
          </w:p>
        </w:tc>
        <w:tc>
          <w:tcPr>
            <w:tcW w:w="968"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5.960</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7.557</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1.597</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2.136</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26.80%</w:t>
            </w:r>
          </w:p>
        </w:tc>
      </w:tr>
      <w:tr w:rsidR="006D1BD3" w:rsidTr="00026737">
        <w:trPr>
          <w:trHeight w:val="462"/>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3.3.3</w:t>
            </w:r>
          </w:p>
        </w:tc>
        <w:tc>
          <w:tcPr>
            <w:tcW w:w="390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Public &amp; Integrated Transport</w:t>
            </w:r>
          </w:p>
        </w:tc>
        <w:tc>
          <w:tcPr>
            <w:tcW w:w="968"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40.914</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43.184</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2.270</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2.246</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5.55%</w:t>
            </w:r>
          </w:p>
        </w:tc>
      </w:tr>
      <w:tr w:rsidR="006D1BD3" w:rsidTr="00026737">
        <w:trPr>
          <w:trHeight w:val="462"/>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3.3.4</w:t>
            </w:r>
          </w:p>
        </w:tc>
        <w:tc>
          <w:tcPr>
            <w:tcW w:w="390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Waste Mgt</w:t>
            </w:r>
          </w:p>
        </w:tc>
        <w:tc>
          <w:tcPr>
            <w:tcW w:w="968"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64.820</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61.669</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-3.151</w:t>
            </w:r>
          </w:p>
        </w:tc>
        <w:tc>
          <w:tcPr>
            <w:tcW w:w="891"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-1.043</w:t>
            </w:r>
          </w:p>
        </w:tc>
        <w:tc>
          <w:tcPr>
            <w:tcW w:w="891"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-4.86%</w:t>
            </w:r>
          </w:p>
        </w:tc>
      </w:tr>
      <w:tr w:rsidR="006D1BD3" w:rsidTr="00026737">
        <w:trPr>
          <w:trHeight w:val="581"/>
        </w:trPr>
        <w:tc>
          <w:tcPr>
            <w:tcW w:w="614"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90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Community Services</w:t>
            </w:r>
          </w:p>
        </w:tc>
        <w:tc>
          <w:tcPr>
            <w:tcW w:w="968"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129.748</w:t>
            </w:r>
          </w:p>
        </w:tc>
        <w:tc>
          <w:tcPr>
            <w:tcW w:w="8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125.706</w:t>
            </w:r>
          </w:p>
        </w:tc>
        <w:tc>
          <w:tcPr>
            <w:tcW w:w="8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-4.042</w:t>
            </w:r>
          </w:p>
        </w:tc>
        <w:tc>
          <w:tcPr>
            <w:tcW w:w="8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-3.577</w:t>
            </w:r>
          </w:p>
        </w:tc>
        <w:tc>
          <w:tcPr>
            <w:tcW w:w="89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-3.12%</w:t>
            </w:r>
          </w:p>
        </w:tc>
      </w:tr>
    </w:tbl>
    <w:p w:rsidR="00026737" w:rsidRDefault="00A953D6" w:rsidP="00026737">
      <w:pPr>
        <w:spacing w:after="0"/>
        <w:rPr>
          <w:rFonts w:cs="Arial"/>
        </w:rPr>
      </w:pPr>
    </w:p>
    <w:p w:rsidR="00026737" w:rsidRPr="000F2BCB" w:rsidRDefault="008A011B" w:rsidP="00026737">
      <w:pPr>
        <w:spacing w:after="0"/>
        <w:rPr>
          <w:rFonts w:cs="Arial"/>
        </w:rPr>
      </w:pPr>
      <w:r w:rsidRPr="000F2BCB">
        <w:rPr>
          <w:rFonts w:cs="Arial"/>
        </w:rPr>
        <w:t xml:space="preserve">Community Services underspent by </w:t>
      </w:r>
      <w:r w:rsidRPr="00832067">
        <w:rPr>
          <w:rFonts w:cs="Arial"/>
        </w:rPr>
        <w:t>£4.042m in 2017/18. This is an improved positon of £0.465m compared to the forecast rep</w:t>
      </w:r>
      <w:r w:rsidRPr="000F2BCB">
        <w:rPr>
          <w:rFonts w:cs="Arial"/>
        </w:rPr>
        <w:t>orted to Cabinet at Quarter 3.</w:t>
      </w:r>
    </w:p>
    <w:p w:rsidR="00026737" w:rsidRDefault="00A953D6" w:rsidP="00026737">
      <w:pPr>
        <w:spacing w:after="0"/>
        <w:rPr>
          <w:rFonts w:cs="Arial"/>
        </w:rPr>
      </w:pPr>
    </w:p>
    <w:p w:rsidR="00026737" w:rsidRPr="003C3C20" w:rsidRDefault="008A011B" w:rsidP="00026737">
      <w:pPr>
        <w:spacing w:after="0"/>
        <w:rPr>
          <w:rFonts w:cs="Arial"/>
        </w:rPr>
      </w:pPr>
      <w:r w:rsidRPr="00C80EFE">
        <w:rPr>
          <w:rFonts w:cs="Arial"/>
          <w:b/>
          <w:i/>
        </w:rPr>
        <w:t>3.</w:t>
      </w:r>
      <w:r>
        <w:rPr>
          <w:rFonts w:cs="Arial"/>
          <w:b/>
          <w:i/>
        </w:rPr>
        <w:t>3</w:t>
      </w:r>
      <w:r w:rsidRPr="00C80EFE">
        <w:rPr>
          <w:rFonts w:cs="Arial"/>
          <w:b/>
          <w:i/>
        </w:rPr>
        <w:t>.1 Highways</w:t>
      </w:r>
      <w:r>
        <w:rPr>
          <w:rFonts w:cs="Arial"/>
        </w:rPr>
        <w:t xml:space="preserve"> has underspent on revenue by £4.758m in 2017/18 due to funding changes rather than any real underspend on expenditure. The main</w:t>
      </w:r>
      <w:r w:rsidRPr="00CC747E">
        <w:rPr>
          <w:rFonts w:cs="Arial"/>
        </w:rPr>
        <w:t xml:space="preserve"> </w:t>
      </w:r>
      <w:r>
        <w:rPr>
          <w:rFonts w:cs="Arial"/>
        </w:rPr>
        <w:t>factor relates to borrowing</w:t>
      </w:r>
      <w:r w:rsidRPr="00CC747E">
        <w:rPr>
          <w:rFonts w:cs="Arial"/>
        </w:rPr>
        <w:t xml:space="preserve"> to fund structural defects</w:t>
      </w:r>
      <w:r>
        <w:rPr>
          <w:rFonts w:cs="Arial"/>
        </w:rPr>
        <w:t>, traffic signal repairs, streetlighting maintenance and drainage maintenance</w:t>
      </w:r>
      <w:r w:rsidRPr="00CC747E">
        <w:rPr>
          <w:rFonts w:cs="Arial"/>
        </w:rPr>
        <w:t xml:space="preserve"> rather </w:t>
      </w:r>
      <w:r>
        <w:rPr>
          <w:rFonts w:cs="Arial"/>
        </w:rPr>
        <w:t>than using a budgeted revenue contribution (£5.636</w:t>
      </w:r>
      <w:r w:rsidRPr="00CC747E">
        <w:rPr>
          <w:rFonts w:cs="Arial"/>
        </w:rPr>
        <w:t>m)</w:t>
      </w:r>
      <w:r>
        <w:rPr>
          <w:rFonts w:cs="Arial"/>
        </w:rPr>
        <w:t>. This is budgeted revenue expenditure that has been funded in year from capital reflecting the agreed budget saving. Further factors contributing to the overall revenue position include</w:t>
      </w:r>
      <w:r w:rsidRPr="00CC747E">
        <w:rPr>
          <w:rFonts w:cs="Arial"/>
        </w:rPr>
        <w:t xml:space="preserve"> additional income under Highway Reg</w:t>
      </w:r>
      <w:r>
        <w:rPr>
          <w:rFonts w:cs="Arial"/>
        </w:rPr>
        <w:t xml:space="preserve">ulation &amp; Inspection (£1.338m), and an offsetting overspend of £1.969m </w:t>
      </w:r>
      <w:r>
        <w:t>relating to severe weather, mainly due to the prolonged spells of cold and wet weather which has meant the highways network has required regular gritting.</w:t>
      </w:r>
      <w:r>
        <w:rPr>
          <w:rFonts w:cs="Arial"/>
        </w:rPr>
        <w:t xml:space="preserve"> This overspend is the main reason for a variation compared to the forecast at Quarter 3. </w:t>
      </w:r>
    </w:p>
    <w:p w:rsidR="00026737" w:rsidRDefault="00A953D6" w:rsidP="00026737">
      <w:pPr>
        <w:spacing w:after="0"/>
        <w:rPr>
          <w:rFonts w:cs="Arial"/>
        </w:rPr>
      </w:pPr>
    </w:p>
    <w:p w:rsidR="00026737" w:rsidRDefault="008A011B" w:rsidP="00026737">
      <w:pPr>
        <w:spacing w:after="0"/>
        <w:rPr>
          <w:rFonts w:cs="Arial"/>
        </w:rPr>
      </w:pPr>
      <w:r w:rsidRPr="00C80EFE">
        <w:rPr>
          <w:rFonts w:cs="Arial"/>
          <w:b/>
          <w:i/>
        </w:rPr>
        <w:t>3.3.2 Libraries, Museums, Culture and Registrars (LMCR)</w:t>
      </w:r>
      <w:r>
        <w:rPr>
          <w:rFonts w:cs="Arial"/>
        </w:rPr>
        <w:t xml:space="preserve"> has overspent by £1.597m. This is largely due to undeliverable savings within libraries which have previously been reported to Cabinet and built back in to the MTFS from 2018/19. This is a slightly improved position compared to Quarter 3 due to reduced staff costs. </w:t>
      </w:r>
    </w:p>
    <w:p w:rsidR="00026737" w:rsidRDefault="00A953D6" w:rsidP="00026737">
      <w:pPr>
        <w:spacing w:after="0"/>
        <w:rPr>
          <w:rFonts w:cs="Arial"/>
        </w:rPr>
      </w:pPr>
    </w:p>
    <w:p w:rsidR="00026737" w:rsidRDefault="008A011B" w:rsidP="00026737">
      <w:pPr>
        <w:spacing w:after="0"/>
        <w:rPr>
          <w:rFonts w:cs="Arial"/>
        </w:rPr>
      </w:pPr>
      <w:r w:rsidRPr="00C80EFE">
        <w:rPr>
          <w:rFonts w:cs="Arial"/>
          <w:b/>
          <w:i/>
        </w:rPr>
        <w:t>3.3.3 Public and Integrated Transport</w:t>
      </w:r>
      <w:r>
        <w:rPr>
          <w:rFonts w:cs="Arial"/>
        </w:rPr>
        <w:t xml:space="preserve"> has overspent by £2.270</w:t>
      </w:r>
      <w:r w:rsidRPr="00A041B1">
        <w:rPr>
          <w:rFonts w:cs="Arial"/>
        </w:rPr>
        <w:t>m</w:t>
      </w:r>
      <w:r>
        <w:rPr>
          <w:rFonts w:cs="Arial"/>
        </w:rPr>
        <w:t xml:space="preserve"> which is similar position to that reported at Quarter 3. This is predominantly </w:t>
      </w:r>
      <w:r w:rsidRPr="00A041B1">
        <w:rPr>
          <w:rFonts w:cs="Arial"/>
        </w:rPr>
        <w:t xml:space="preserve">due to delayed delivery of savings </w:t>
      </w:r>
      <w:r>
        <w:rPr>
          <w:rFonts w:cs="Arial"/>
        </w:rPr>
        <w:t>within</w:t>
      </w:r>
      <w:r w:rsidRPr="00A041B1">
        <w:rPr>
          <w:rFonts w:cs="Arial"/>
        </w:rPr>
        <w:t xml:space="preserve"> Special Educational Needs (SEN) Transport and additional demand within the service. </w:t>
      </w:r>
      <w:r>
        <w:rPr>
          <w:rFonts w:cs="Arial"/>
        </w:rPr>
        <w:t xml:space="preserve">Both these issues </w:t>
      </w:r>
      <w:r w:rsidRPr="00A041B1">
        <w:rPr>
          <w:rFonts w:cs="Arial"/>
        </w:rPr>
        <w:t>have been addressed as part of the MTFS</w:t>
      </w:r>
      <w:r>
        <w:rPr>
          <w:rFonts w:cs="Arial"/>
        </w:rPr>
        <w:t xml:space="preserve"> from 2018/19. </w:t>
      </w:r>
    </w:p>
    <w:p w:rsidR="00026737" w:rsidRDefault="00A953D6" w:rsidP="00026737">
      <w:pPr>
        <w:spacing w:after="0"/>
        <w:rPr>
          <w:rFonts w:cs="Arial"/>
        </w:rPr>
      </w:pPr>
    </w:p>
    <w:p w:rsidR="00026737" w:rsidRPr="00661B89" w:rsidRDefault="008A011B" w:rsidP="00026737">
      <w:pPr>
        <w:spacing w:after="0"/>
        <w:rPr>
          <w:rFonts w:cs="Arial"/>
        </w:rPr>
      </w:pPr>
      <w:r w:rsidRPr="00C80EFE">
        <w:rPr>
          <w:rFonts w:cs="Arial"/>
          <w:b/>
          <w:i/>
        </w:rPr>
        <w:t>3.3.4 Waste Management</w:t>
      </w:r>
      <w:r w:rsidRPr="00CC747E">
        <w:rPr>
          <w:rFonts w:cs="Arial"/>
        </w:rPr>
        <w:t xml:space="preserve"> </w:t>
      </w:r>
      <w:r>
        <w:rPr>
          <w:rFonts w:cs="Arial"/>
        </w:rPr>
        <w:t>has underspent by £3.151</w:t>
      </w:r>
      <w:r w:rsidRPr="00CC747E">
        <w:rPr>
          <w:rFonts w:cs="Arial"/>
        </w:rPr>
        <w:t>m due to</w:t>
      </w:r>
      <w:r>
        <w:rPr>
          <w:rFonts w:cs="Arial"/>
        </w:rPr>
        <w:t xml:space="preserve"> a combination of factors, the most significant of which is a reduction in waste arisings during the year (0.9% increase rather than the budgeted 5.4%)</w:t>
      </w:r>
      <w:r w:rsidRPr="00CC747E">
        <w:rPr>
          <w:rFonts w:cs="Arial"/>
        </w:rPr>
        <w:t xml:space="preserve">. </w:t>
      </w:r>
      <w:r w:rsidRPr="00317DEE">
        <w:rPr>
          <w:rFonts w:cs="Arial"/>
        </w:rPr>
        <w:t>The underspend position has significantly increased since Quarter 3 as a result of higher underspends on landfill and transport costs as a result of reductions in waste arisings, r</w:t>
      </w:r>
      <w:r w:rsidRPr="00317DEE">
        <w:t>educed operating and lifecycle costs of the waste recovery parks and some additional income.</w:t>
      </w:r>
    </w:p>
    <w:p w:rsidR="00026737" w:rsidRDefault="00A953D6" w:rsidP="00026737">
      <w:pPr>
        <w:spacing w:after="0"/>
        <w:rPr>
          <w:rFonts w:cs="Arial"/>
        </w:rPr>
      </w:pPr>
    </w:p>
    <w:p w:rsidR="00026737" w:rsidRDefault="008A011B" w:rsidP="00026737">
      <w:pPr>
        <w:autoSpaceDE/>
        <w:autoSpaceDN/>
        <w:adjustRightInd/>
        <w:spacing w:after="0"/>
        <w:jc w:val="left"/>
        <w:rPr>
          <w:rFonts w:cs="Arial"/>
        </w:rPr>
      </w:pPr>
      <w:r>
        <w:rPr>
          <w:rFonts w:cs="Arial"/>
        </w:rPr>
        <w:br w:type="page"/>
      </w:r>
    </w:p>
    <w:p w:rsidR="00026737" w:rsidRDefault="008A011B" w:rsidP="00026737">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4</w:t>
      </w:r>
      <w:r w:rsidRPr="00FB36C0">
        <w:rPr>
          <w:rFonts w:eastAsia="Times New Roman" w:cs="Arial"/>
          <w:b/>
          <w:lang w:eastAsia="en-GB"/>
        </w:rPr>
        <w:tab/>
      </w:r>
      <w:r w:rsidRPr="00D40856">
        <w:rPr>
          <w:rFonts w:cs="Arial"/>
          <w:b/>
        </w:rPr>
        <w:t>Public Health and Wellbeing</w:t>
      </w:r>
    </w:p>
    <w:p w:rsidR="00026737" w:rsidRDefault="00A953D6" w:rsidP="00026737">
      <w:pPr>
        <w:spacing w:after="0"/>
        <w:rPr>
          <w:rFonts w:cs="Arial"/>
        </w:rPr>
      </w:pPr>
    </w:p>
    <w:tbl>
      <w:tblPr>
        <w:tblW w:w="9001" w:type="dxa"/>
        <w:tblLook w:val="04A0" w:firstRow="1" w:lastRow="0" w:firstColumn="1" w:lastColumn="0" w:noHBand="0" w:noVBand="1"/>
      </w:tblPr>
      <w:tblGrid>
        <w:gridCol w:w="706"/>
        <w:gridCol w:w="2627"/>
        <w:gridCol w:w="1243"/>
        <w:gridCol w:w="1023"/>
        <w:gridCol w:w="1134"/>
        <w:gridCol w:w="1134"/>
        <w:gridCol w:w="1134"/>
      </w:tblGrid>
      <w:tr w:rsidR="006D1BD3" w:rsidTr="00026737">
        <w:trPr>
          <w:trHeight w:val="907"/>
        </w:trPr>
        <w:tc>
          <w:tcPr>
            <w:tcW w:w="611"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A953D6" w:rsidP="00026737">
            <w:pPr>
              <w:autoSpaceDE/>
              <w:autoSpaceDN/>
              <w:adjustRightInd/>
              <w:spacing w:after="0"/>
              <w:jc w:val="center"/>
              <w:rPr>
                <w:rFonts w:eastAsia="Times New Roman" w:cs="Arial"/>
                <w:b/>
                <w:bCs/>
                <w:sz w:val="22"/>
                <w:szCs w:val="22"/>
                <w:lang w:eastAsia="en-GB"/>
              </w:rPr>
            </w:pPr>
          </w:p>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3883" w:type="dxa"/>
            <w:tcBorders>
              <w:top w:val="single" w:sz="4" w:space="0" w:color="auto"/>
              <w:left w:val="nil"/>
              <w:bottom w:val="nil"/>
              <w:right w:val="single" w:sz="4" w:space="0" w:color="auto"/>
            </w:tcBorders>
            <w:shd w:val="clear" w:color="000000" w:fill="D9D9D9"/>
            <w:vAlign w:val="center"/>
            <w:hideMark/>
          </w:tcPr>
          <w:p w:rsidR="00026737" w:rsidRPr="00F97006" w:rsidRDefault="00A953D6" w:rsidP="00026737">
            <w:pPr>
              <w:autoSpaceDE/>
              <w:autoSpaceDN/>
              <w:adjustRightInd/>
              <w:spacing w:after="0"/>
              <w:jc w:val="center"/>
              <w:rPr>
                <w:rFonts w:eastAsia="Times New Roman" w:cs="Arial"/>
                <w:b/>
                <w:bCs/>
                <w:sz w:val="22"/>
                <w:szCs w:val="22"/>
                <w:lang w:eastAsia="en-GB"/>
              </w:rPr>
            </w:pPr>
          </w:p>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Head of Service</w:t>
            </w:r>
          </w:p>
        </w:tc>
        <w:tc>
          <w:tcPr>
            <w:tcW w:w="963"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88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88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88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88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80"/>
        </w:trPr>
        <w:tc>
          <w:tcPr>
            <w:tcW w:w="611"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883"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963"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8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8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8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88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3.4.1</w:t>
            </w:r>
          </w:p>
        </w:tc>
        <w:tc>
          <w:tcPr>
            <w:tcW w:w="388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Public Health &amp; Wellbeing</w:t>
            </w:r>
          </w:p>
        </w:tc>
        <w:tc>
          <w:tcPr>
            <w:tcW w:w="96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-69.709</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-69.815</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-0.106</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-0.135</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0.15%</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3.4.2</w:t>
            </w:r>
          </w:p>
        </w:tc>
        <w:tc>
          <w:tcPr>
            <w:tcW w:w="388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Patient Safety &amp; Quality Improvement</w:t>
            </w:r>
          </w:p>
        </w:tc>
        <w:tc>
          <w:tcPr>
            <w:tcW w:w="96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4.592</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4.784</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0.192</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0.171</w:t>
            </w:r>
          </w:p>
        </w:tc>
        <w:tc>
          <w:tcPr>
            <w:tcW w:w="88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4.18%</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3.4.3</w:t>
            </w:r>
          </w:p>
        </w:tc>
        <w:tc>
          <w:tcPr>
            <w:tcW w:w="388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Health Equity Welfare &amp; Partnerships</w:t>
            </w:r>
          </w:p>
        </w:tc>
        <w:tc>
          <w:tcPr>
            <w:tcW w:w="96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66.754</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66.069</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-0.685</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-0.935</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-1.03%</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3.4.4</w:t>
            </w:r>
          </w:p>
        </w:tc>
        <w:tc>
          <w:tcPr>
            <w:tcW w:w="388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Children And Family Wellbeing Service</w:t>
            </w:r>
          </w:p>
        </w:tc>
        <w:tc>
          <w:tcPr>
            <w:tcW w:w="96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14.696</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10.910</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-3.786</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-2.765</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-25.76%</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3.4.5</w:t>
            </w:r>
          </w:p>
        </w:tc>
        <w:tc>
          <w:tcPr>
            <w:tcW w:w="388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Health, Safety &amp; Resilience</w:t>
            </w:r>
          </w:p>
        </w:tc>
        <w:tc>
          <w:tcPr>
            <w:tcW w:w="96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1.036</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0.348</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-0.688</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-0.488</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-66.41%</w:t>
            </w:r>
          </w:p>
        </w:tc>
      </w:tr>
      <w:tr w:rsidR="006D1BD3" w:rsidTr="00026737">
        <w:trPr>
          <w:trHeight w:val="692"/>
        </w:trPr>
        <w:tc>
          <w:tcPr>
            <w:tcW w:w="61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3.4.6</w:t>
            </w:r>
          </w:p>
        </w:tc>
        <w:tc>
          <w:tcPr>
            <w:tcW w:w="388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Trading Standards &amp; Scientific Services</w:t>
            </w:r>
          </w:p>
        </w:tc>
        <w:tc>
          <w:tcPr>
            <w:tcW w:w="96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2.822</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3.486</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0.664</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0.320</w:t>
            </w:r>
          </w:p>
        </w:tc>
        <w:tc>
          <w:tcPr>
            <w:tcW w:w="88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23.53%</w:t>
            </w:r>
          </w:p>
        </w:tc>
      </w:tr>
      <w:tr w:rsidR="006D1BD3" w:rsidTr="00026737">
        <w:trPr>
          <w:trHeight w:val="725"/>
        </w:trPr>
        <w:tc>
          <w:tcPr>
            <w:tcW w:w="611"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3883"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Public Health &amp; Wellbeing</w:t>
            </w:r>
          </w:p>
        </w:tc>
        <w:tc>
          <w:tcPr>
            <w:tcW w:w="963"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20.191</w:t>
            </w:r>
          </w:p>
        </w:tc>
        <w:tc>
          <w:tcPr>
            <w:tcW w:w="88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15.782</w:t>
            </w:r>
          </w:p>
        </w:tc>
        <w:tc>
          <w:tcPr>
            <w:tcW w:w="88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-4.409</w:t>
            </w:r>
          </w:p>
        </w:tc>
        <w:tc>
          <w:tcPr>
            <w:tcW w:w="88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-3.834</w:t>
            </w:r>
          </w:p>
        </w:tc>
        <w:tc>
          <w:tcPr>
            <w:tcW w:w="88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-21.84%</w:t>
            </w:r>
          </w:p>
        </w:tc>
      </w:tr>
    </w:tbl>
    <w:p w:rsidR="00026737" w:rsidRDefault="00A953D6" w:rsidP="00026737">
      <w:pPr>
        <w:spacing w:after="0"/>
        <w:rPr>
          <w:rFonts w:cs="Arial"/>
        </w:rPr>
      </w:pPr>
    </w:p>
    <w:p w:rsidR="00026737" w:rsidRDefault="008A011B" w:rsidP="00026737">
      <w:pPr>
        <w:spacing w:after="0"/>
        <w:rPr>
          <w:rFonts w:cs="Arial"/>
        </w:rPr>
      </w:pPr>
      <w:r>
        <w:rPr>
          <w:rFonts w:cs="Arial"/>
        </w:rPr>
        <w:t xml:space="preserve">Public Health and Wellbeing has underspent </w:t>
      </w:r>
      <w:r w:rsidRPr="005C6DB7">
        <w:rPr>
          <w:rFonts w:cs="Arial"/>
        </w:rPr>
        <w:t>by £</w:t>
      </w:r>
      <w:r>
        <w:rPr>
          <w:rFonts w:cs="Arial"/>
        </w:rPr>
        <w:t xml:space="preserve">4.409m in 2017/18. The forecast has improved by £0.575m compared to Quarter 3 figures. </w:t>
      </w:r>
    </w:p>
    <w:p w:rsidR="00026737" w:rsidRPr="00F3795F" w:rsidRDefault="00A953D6" w:rsidP="00026737">
      <w:pPr>
        <w:tabs>
          <w:tab w:val="left" w:pos="851"/>
          <w:tab w:val="left" w:pos="1418"/>
        </w:tabs>
        <w:spacing w:after="0"/>
      </w:pPr>
    </w:p>
    <w:p w:rsidR="00026737" w:rsidRPr="00F3795F" w:rsidRDefault="008A011B" w:rsidP="00026737">
      <w:pPr>
        <w:tabs>
          <w:tab w:val="left" w:pos="851"/>
          <w:tab w:val="left" w:pos="1418"/>
        </w:tabs>
        <w:spacing w:after="0"/>
        <w:rPr>
          <w:rFonts w:cs="Arial"/>
        </w:rPr>
      </w:pPr>
      <w:r w:rsidRPr="00C80EFE">
        <w:rPr>
          <w:rFonts w:cs="Arial"/>
          <w:b/>
          <w:i/>
        </w:rPr>
        <w:t>3.4.1 Public Health and Wellbeing</w:t>
      </w:r>
      <w:r w:rsidRPr="00F3795F">
        <w:rPr>
          <w:rFonts w:cs="Arial"/>
        </w:rPr>
        <w:t xml:space="preserve"> outturn position is an underspend by £0.106m as a result of staff vacancies.</w:t>
      </w:r>
    </w:p>
    <w:p w:rsidR="00026737" w:rsidRPr="001A57A6" w:rsidRDefault="00A953D6" w:rsidP="00026737">
      <w:pPr>
        <w:tabs>
          <w:tab w:val="left" w:pos="851"/>
          <w:tab w:val="left" w:pos="1418"/>
        </w:tabs>
        <w:spacing w:after="0"/>
      </w:pPr>
    </w:p>
    <w:p w:rsidR="00026737" w:rsidRDefault="008A011B" w:rsidP="00026737">
      <w:pPr>
        <w:autoSpaceDE/>
        <w:adjustRightInd/>
        <w:spacing w:after="0"/>
        <w:rPr>
          <w:rFonts w:cs="Arial"/>
        </w:rPr>
      </w:pPr>
      <w:r w:rsidRPr="00C80EFE">
        <w:rPr>
          <w:rFonts w:cs="Arial"/>
          <w:b/>
          <w:i/>
        </w:rPr>
        <w:t>3.4.2 Patient Safety &amp; Quality Improvement</w:t>
      </w:r>
      <w:r>
        <w:rPr>
          <w:rFonts w:cs="Arial"/>
        </w:rPr>
        <w:t xml:space="preserve"> has overspent by </w:t>
      </w:r>
      <w:r w:rsidRPr="0035122E">
        <w:rPr>
          <w:rFonts w:cs="Arial"/>
        </w:rPr>
        <w:t>£0.1</w:t>
      </w:r>
      <w:r>
        <w:rPr>
          <w:rFonts w:cs="Arial"/>
        </w:rPr>
        <w:t xml:space="preserve">92m </w:t>
      </w:r>
      <w:r w:rsidRPr="008338C6">
        <w:rPr>
          <w:rFonts w:cs="Arial"/>
        </w:rPr>
        <w:t>predominantly as a result of a</w:t>
      </w:r>
      <w:r>
        <w:rPr>
          <w:rFonts w:cs="Arial"/>
        </w:rPr>
        <w:t>dditional budgetary pressures on the staffing budget through the use of agency staff, offset by additional income.</w:t>
      </w:r>
    </w:p>
    <w:p w:rsidR="00026737" w:rsidRDefault="00A953D6" w:rsidP="00026737">
      <w:pPr>
        <w:tabs>
          <w:tab w:val="left" w:pos="851"/>
          <w:tab w:val="left" w:pos="1418"/>
        </w:tabs>
        <w:spacing w:after="0"/>
        <w:rPr>
          <w:b/>
          <w:highlight w:val="green"/>
        </w:rPr>
      </w:pPr>
    </w:p>
    <w:p w:rsidR="00026737" w:rsidRDefault="008A011B" w:rsidP="00026737">
      <w:pPr>
        <w:spacing w:after="0"/>
        <w:rPr>
          <w:rFonts w:cs="Arial"/>
        </w:rPr>
      </w:pPr>
      <w:r w:rsidRPr="00C80EFE">
        <w:rPr>
          <w:rFonts w:cs="Arial"/>
          <w:b/>
          <w:i/>
        </w:rPr>
        <w:t>3.4.3 Health Equity, Welfare &amp; Partnerships</w:t>
      </w:r>
      <w:r w:rsidRPr="00713B9C">
        <w:rPr>
          <w:rFonts w:cs="Arial"/>
        </w:rPr>
        <w:t xml:space="preserve"> </w:t>
      </w:r>
      <w:r>
        <w:rPr>
          <w:rFonts w:cs="Arial"/>
        </w:rPr>
        <w:t xml:space="preserve">has underspent by £0.685m due to contracts and staffing underspends. This is a reduced underspend compared to </w:t>
      </w:r>
      <w:r w:rsidRPr="00317DEE">
        <w:rPr>
          <w:rFonts w:cs="Arial"/>
        </w:rPr>
        <w:t xml:space="preserve">Quarter 3, due to some additional contract costs that have been incurred in Quarter 4. </w:t>
      </w:r>
    </w:p>
    <w:p w:rsidR="00026737" w:rsidRPr="001A57A6" w:rsidRDefault="00A953D6" w:rsidP="00026737">
      <w:pPr>
        <w:tabs>
          <w:tab w:val="left" w:pos="851"/>
          <w:tab w:val="left" w:pos="1418"/>
        </w:tabs>
        <w:spacing w:after="0"/>
        <w:rPr>
          <w:b/>
        </w:rPr>
      </w:pPr>
    </w:p>
    <w:p w:rsidR="00026737" w:rsidRPr="00713B9C" w:rsidRDefault="008A011B" w:rsidP="00026737">
      <w:pPr>
        <w:spacing w:after="0"/>
        <w:rPr>
          <w:rFonts w:cs="Arial"/>
        </w:rPr>
      </w:pPr>
      <w:r w:rsidRPr="00C80EFE">
        <w:rPr>
          <w:rFonts w:cs="Arial"/>
          <w:b/>
          <w:i/>
        </w:rPr>
        <w:t>3.4.4 Children and Family Wellbeing Service</w:t>
      </w:r>
      <w:r w:rsidRPr="001A57A6">
        <w:rPr>
          <w:rFonts w:cs="Arial"/>
        </w:rPr>
        <w:t xml:space="preserve"> </w:t>
      </w:r>
      <w:r>
        <w:rPr>
          <w:rFonts w:cs="Arial"/>
        </w:rPr>
        <w:t xml:space="preserve">outturn position has reported an underspend </w:t>
      </w:r>
      <w:r w:rsidRPr="009D0BA9">
        <w:rPr>
          <w:rFonts w:cs="Arial"/>
        </w:rPr>
        <w:t>of £3.78</w:t>
      </w:r>
      <w:r>
        <w:rPr>
          <w:rFonts w:cs="Arial"/>
        </w:rPr>
        <w:t xml:space="preserve">6m for 2017/18. This relates to </w:t>
      </w:r>
      <w:r w:rsidRPr="00561D31">
        <w:rPr>
          <w:rFonts w:cs="Arial"/>
        </w:rPr>
        <w:t>staffing vacancies and underspends on operational costs.</w:t>
      </w:r>
      <w:r>
        <w:rPr>
          <w:rFonts w:cs="Arial"/>
        </w:rPr>
        <w:t xml:space="preserve"> The underspend has increased compared to Quarter 3 mainly due to additional staffing underspends. </w:t>
      </w:r>
    </w:p>
    <w:p w:rsidR="00026737" w:rsidRPr="005063BF" w:rsidRDefault="00A953D6" w:rsidP="00026737">
      <w:pPr>
        <w:tabs>
          <w:tab w:val="left" w:pos="851"/>
          <w:tab w:val="left" w:pos="1418"/>
        </w:tabs>
        <w:spacing w:after="0"/>
        <w:rPr>
          <w:b/>
        </w:rPr>
      </w:pPr>
    </w:p>
    <w:p w:rsidR="00026737" w:rsidRPr="00AA4FB5" w:rsidRDefault="008A011B" w:rsidP="00026737">
      <w:pPr>
        <w:autoSpaceDE/>
        <w:adjustRightInd/>
        <w:spacing w:after="0"/>
      </w:pPr>
      <w:r w:rsidRPr="00C80EFE">
        <w:rPr>
          <w:rFonts w:cs="Arial"/>
          <w:b/>
          <w:i/>
        </w:rPr>
        <w:t>3.4.5 Health, Safety &amp; Resilience</w:t>
      </w:r>
      <w:r>
        <w:rPr>
          <w:rFonts w:cs="Arial"/>
        </w:rPr>
        <w:t xml:space="preserve"> outturn position is an</w:t>
      </w:r>
      <w:r w:rsidRPr="005063BF">
        <w:rPr>
          <w:rFonts w:cs="Arial"/>
        </w:rPr>
        <w:t xml:space="preserve"> underspend </w:t>
      </w:r>
      <w:r w:rsidRPr="00A76E5A">
        <w:rPr>
          <w:rFonts w:cs="Arial"/>
        </w:rPr>
        <w:t>of £0.</w:t>
      </w:r>
      <w:r>
        <w:rPr>
          <w:rFonts w:cs="Arial"/>
        </w:rPr>
        <w:t>688</w:t>
      </w:r>
      <w:r w:rsidRPr="00A76E5A">
        <w:rPr>
          <w:rFonts w:cs="Arial"/>
        </w:rPr>
        <w:t>m</w:t>
      </w:r>
      <w:r>
        <w:rPr>
          <w:rFonts w:cs="Arial"/>
        </w:rPr>
        <w:t xml:space="preserve"> </w:t>
      </w:r>
      <w:r w:rsidRPr="005063BF">
        <w:rPr>
          <w:rFonts w:cs="Arial"/>
        </w:rPr>
        <w:t xml:space="preserve">due </w:t>
      </w:r>
      <w:r>
        <w:rPr>
          <w:rFonts w:cs="Arial"/>
        </w:rPr>
        <w:t xml:space="preserve">to underspends on </w:t>
      </w:r>
      <w:r>
        <w:t xml:space="preserve">operational costs, staffing and income. This has slightly improved compared to Quarter 3 mainly due to underspends on operational costs. </w:t>
      </w:r>
    </w:p>
    <w:p w:rsidR="00026737" w:rsidRPr="005063BF" w:rsidRDefault="00A953D6" w:rsidP="00026737">
      <w:pPr>
        <w:autoSpaceDE/>
        <w:adjustRightInd/>
        <w:spacing w:after="0"/>
        <w:rPr>
          <w:b/>
        </w:rPr>
      </w:pPr>
    </w:p>
    <w:p w:rsidR="00026737" w:rsidRDefault="008A011B" w:rsidP="00026737">
      <w:pPr>
        <w:spacing w:after="0"/>
        <w:rPr>
          <w:rFonts w:cs="Arial"/>
        </w:rPr>
      </w:pPr>
      <w:r w:rsidRPr="00C80EFE">
        <w:rPr>
          <w:b/>
          <w:i/>
        </w:rPr>
        <w:t>3.4.6 Trading Standards &amp; Scientific Services</w:t>
      </w:r>
      <w:r>
        <w:t xml:space="preserve"> has overspent by £0.664m for 2017/18</w:t>
      </w:r>
      <w:r>
        <w:rPr>
          <w:rFonts w:cs="Arial"/>
        </w:rPr>
        <w:t xml:space="preserve"> mainly due to a shortfall in grants and income received. </w:t>
      </w:r>
    </w:p>
    <w:p w:rsidR="00026737" w:rsidRDefault="008A011B" w:rsidP="00026737">
      <w:pPr>
        <w:autoSpaceDE/>
        <w:autoSpaceDN/>
        <w:adjustRightInd/>
        <w:spacing w:after="0"/>
        <w:jc w:val="left"/>
        <w:rPr>
          <w:rFonts w:cs="Arial"/>
        </w:rPr>
      </w:pPr>
      <w:r>
        <w:rPr>
          <w:rFonts w:cs="Arial"/>
        </w:rPr>
        <w:br w:type="page"/>
      </w:r>
    </w:p>
    <w:p w:rsidR="00026737" w:rsidRPr="00D40856" w:rsidRDefault="008A011B" w:rsidP="00026737">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5</w:t>
      </w:r>
      <w:r w:rsidRPr="00FB36C0">
        <w:rPr>
          <w:rFonts w:eastAsia="Times New Roman" w:cs="Arial"/>
          <w:b/>
          <w:lang w:eastAsia="en-GB"/>
        </w:rPr>
        <w:tab/>
      </w:r>
      <w:r>
        <w:rPr>
          <w:rFonts w:cs="Arial"/>
          <w:b/>
        </w:rPr>
        <w:t>Economic Development and Planning</w:t>
      </w:r>
    </w:p>
    <w:p w:rsidR="00026737" w:rsidRDefault="00A953D6" w:rsidP="00026737">
      <w:pPr>
        <w:spacing w:after="0"/>
        <w:rPr>
          <w:rFonts w:cs="Arial"/>
          <w:b/>
          <w:u w:val="single"/>
        </w:rPr>
      </w:pPr>
    </w:p>
    <w:tbl>
      <w:tblPr>
        <w:tblW w:w="9209" w:type="dxa"/>
        <w:tblLook w:val="04A0" w:firstRow="1" w:lastRow="0" w:firstColumn="1" w:lastColumn="0" w:noHBand="0" w:noVBand="1"/>
      </w:tblPr>
      <w:tblGrid>
        <w:gridCol w:w="706"/>
        <w:gridCol w:w="2266"/>
        <w:gridCol w:w="1276"/>
        <w:gridCol w:w="1134"/>
        <w:gridCol w:w="1276"/>
        <w:gridCol w:w="1134"/>
        <w:gridCol w:w="1417"/>
      </w:tblGrid>
      <w:tr w:rsidR="006D1BD3" w:rsidTr="00026737">
        <w:trPr>
          <w:trHeight w:val="659"/>
        </w:trPr>
        <w:tc>
          <w:tcPr>
            <w:tcW w:w="706"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226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Head </w:t>
            </w:r>
            <w:r>
              <w:rPr>
                <w:rFonts w:eastAsia="Times New Roman" w:cs="Arial"/>
                <w:b/>
                <w:bCs/>
                <w:sz w:val="22"/>
                <w:szCs w:val="22"/>
                <w:lang w:eastAsia="en-GB"/>
              </w:rPr>
              <w:t>o</w:t>
            </w:r>
            <w:r w:rsidRPr="00F97006">
              <w:rPr>
                <w:rFonts w:eastAsia="Times New Roman" w:cs="Arial"/>
                <w:b/>
                <w:bCs/>
                <w:sz w:val="22"/>
                <w:szCs w:val="22"/>
                <w:lang w:eastAsia="en-GB"/>
              </w:rPr>
              <w:t>f Servic</w:t>
            </w:r>
            <w:r>
              <w:rPr>
                <w:rFonts w:eastAsia="Times New Roman" w:cs="Arial"/>
                <w:b/>
                <w:bCs/>
                <w:sz w:val="22"/>
                <w:szCs w:val="22"/>
                <w:lang w:eastAsia="en-GB"/>
              </w:rPr>
              <w:t>e</w:t>
            </w:r>
          </w:p>
        </w:tc>
        <w:tc>
          <w:tcPr>
            <w:tcW w:w="127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27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141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283"/>
        </w:trPr>
        <w:tc>
          <w:tcPr>
            <w:tcW w:w="706"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26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27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£m</w:t>
            </w:r>
          </w:p>
        </w:tc>
        <w:tc>
          <w:tcPr>
            <w:tcW w:w="127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£m</w:t>
            </w:r>
          </w:p>
        </w:tc>
        <w:tc>
          <w:tcPr>
            <w:tcW w:w="1417"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481"/>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3.5.1</w:t>
            </w:r>
          </w:p>
        </w:tc>
        <w:tc>
          <w:tcPr>
            <w:tcW w:w="226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Economic Development</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0.005</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-0.153</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-0.158</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-0.166</w:t>
            </w:r>
          </w:p>
        </w:tc>
        <w:tc>
          <w:tcPr>
            <w:tcW w:w="141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-3160.00%</w:t>
            </w:r>
          </w:p>
        </w:tc>
      </w:tr>
      <w:tr w:rsidR="006D1BD3" w:rsidTr="00026737">
        <w:trPr>
          <w:trHeight w:val="481"/>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3.5.2</w:t>
            </w:r>
          </w:p>
        </w:tc>
        <w:tc>
          <w:tcPr>
            <w:tcW w:w="226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Business Growth</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0.545</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0.587</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0.042</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0.097</w:t>
            </w:r>
          </w:p>
        </w:tc>
        <w:tc>
          <w:tcPr>
            <w:tcW w:w="141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7.71%</w:t>
            </w:r>
          </w:p>
        </w:tc>
      </w:tr>
      <w:tr w:rsidR="006D1BD3" w:rsidTr="00026737">
        <w:trPr>
          <w:trHeight w:val="481"/>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3.5.3</w:t>
            </w:r>
          </w:p>
        </w:tc>
        <w:tc>
          <w:tcPr>
            <w:tcW w:w="226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LEP</w:t>
            </w:r>
            <w:r w:rsidRPr="00F97006">
              <w:rPr>
                <w:rFonts w:eastAsia="Times New Roman" w:cs="Arial"/>
                <w:sz w:val="22"/>
                <w:szCs w:val="22"/>
                <w:lang w:eastAsia="en-GB"/>
              </w:rPr>
              <w:t xml:space="preserve"> Coordination</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0.004</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0.004</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0.003</w:t>
            </w:r>
          </w:p>
        </w:tc>
        <w:tc>
          <w:tcPr>
            <w:tcW w:w="141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w:t>
            </w:r>
          </w:p>
        </w:tc>
      </w:tr>
      <w:tr w:rsidR="006D1BD3" w:rsidTr="00026737">
        <w:trPr>
          <w:trHeight w:val="423"/>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3.5.4</w:t>
            </w:r>
          </w:p>
        </w:tc>
        <w:tc>
          <w:tcPr>
            <w:tcW w:w="226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Strategic Economic Development</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41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w:t>
            </w:r>
          </w:p>
        </w:tc>
      </w:tr>
      <w:tr w:rsidR="006D1BD3" w:rsidTr="00026737">
        <w:trPr>
          <w:trHeight w:val="481"/>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3.5.5</w:t>
            </w:r>
          </w:p>
        </w:tc>
        <w:tc>
          <w:tcPr>
            <w:tcW w:w="226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 xml:space="preserve">Planning </w:t>
            </w:r>
            <w:r>
              <w:rPr>
                <w:rFonts w:eastAsia="Times New Roman" w:cs="Arial"/>
                <w:sz w:val="22"/>
                <w:szCs w:val="22"/>
                <w:lang w:eastAsia="en-GB"/>
              </w:rPr>
              <w:t xml:space="preserve">&amp; </w:t>
            </w:r>
            <w:r w:rsidRPr="00F97006">
              <w:rPr>
                <w:rFonts w:eastAsia="Times New Roman" w:cs="Arial"/>
                <w:sz w:val="22"/>
                <w:szCs w:val="22"/>
                <w:lang w:eastAsia="en-GB"/>
              </w:rPr>
              <w:t>Environment</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1.506</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1.074</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-0.432</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-0.498</w:t>
            </w:r>
          </w:p>
        </w:tc>
        <w:tc>
          <w:tcPr>
            <w:tcW w:w="141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-28.69%</w:t>
            </w:r>
          </w:p>
        </w:tc>
      </w:tr>
      <w:tr w:rsidR="006D1BD3" w:rsidTr="00026737">
        <w:trPr>
          <w:trHeight w:val="439"/>
        </w:trPr>
        <w:tc>
          <w:tcPr>
            <w:tcW w:w="706"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26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Pr>
                <w:rFonts w:eastAsia="Times New Roman" w:cs="Arial"/>
                <w:b/>
                <w:bCs/>
                <w:sz w:val="22"/>
                <w:szCs w:val="22"/>
                <w:lang w:eastAsia="en-GB"/>
              </w:rPr>
              <w:t>Total - Economic Development a</w:t>
            </w:r>
            <w:r w:rsidRPr="00F97006">
              <w:rPr>
                <w:rFonts w:eastAsia="Times New Roman" w:cs="Arial"/>
                <w:b/>
                <w:bCs/>
                <w:sz w:val="22"/>
                <w:szCs w:val="22"/>
                <w:lang w:eastAsia="en-GB"/>
              </w:rPr>
              <w:t>nd Planning</w:t>
            </w:r>
          </w:p>
        </w:tc>
        <w:tc>
          <w:tcPr>
            <w:tcW w:w="127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2.056</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1.512</w:t>
            </w:r>
          </w:p>
        </w:tc>
        <w:tc>
          <w:tcPr>
            <w:tcW w:w="127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-0.544</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-0.56</w:t>
            </w:r>
            <w:r>
              <w:rPr>
                <w:rFonts w:eastAsia="Times New Roman" w:cs="Arial"/>
                <w:b/>
                <w:bCs/>
                <w:sz w:val="22"/>
                <w:szCs w:val="22"/>
                <w:lang w:eastAsia="en-GB"/>
              </w:rPr>
              <w:t>4</w:t>
            </w:r>
          </w:p>
        </w:tc>
        <w:tc>
          <w:tcPr>
            <w:tcW w:w="141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-26.46%</w:t>
            </w:r>
          </w:p>
        </w:tc>
      </w:tr>
    </w:tbl>
    <w:p w:rsidR="00026737" w:rsidRDefault="00A953D6" w:rsidP="00026737">
      <w:pPr>
        <w:spacing w:after="0"/>
        <w:rPr>
          <w:rFonts w:cs="Arial"/>
          <w:b/>
          <w:u w:val="single"/>
        </w:rPr>
      </w:pPr>
    </w:p>
    <w:p w:rsidR="00026737" w:rsidRDefault="008A011B" w:rsidP="00026737">
      <w:pPr>
        <w:spacing w:after="0"/>
        <w:rPr>
          <w:rFonts w:cs="Arial"/>
        </w:rPr>
      </w:pPr>
      <w:r>
        <w:rPr>
          <w:rFonts w:cs="Arial"/>
        </w:rPr>
        <w:t xml:space="preserve">Economic Development and Planning Services have underspent </w:t>
      </w:r>
      <w:r w:rsidRPr="00CD40A7">
        <w:rPr>
          <w:rFonts w:cs="Arial"/>
        </w:rPr>
        <w:t>by £</w:t>
      </w:r>
      <w:r>
        <w:rPr>
          <w:rFonts w:cs="Arial"/>
        </w:rPr>
        <w:t>0.544</w:t>
      </w:r>
      <w:r w:rsidRPr="00CD40A7">
        <w:rPr>
          <w:rFonts w:cs="Arial"/>
        </w:rPr>
        <w:t>m.</w:t>
      </w:r>
      <w:r>
        <w:rPr>
          <w:rFonts w:cs="Arial"/>
        </w:rPr>
        <w:t xml:space="preserve"> </w:t>
      </w:r>
      <w:proofErr w:type="gramStart"/>
      <w:r>
        <w:rPr>
          <w:rFonts w:cs="Arial"/>
        </w:rPr>
        <w:t>The overspend</w:t>
      </w:r>
      <w:proofErr w:type="gramEnd"/>
      <w:r>
        <w:rPr>
          <w:rFonts w:cs="Arial"/>
        </w:rPr>
        <w:t xml:space="preserve"> at final outturn</w:t>
      </w:r>
      <w:r w:rsidRPr="00CD40A7">
        <w:rPr>
          <w:rFonts w:cs="Arial"/>
        </w:rPr>
        <w:t xml:space="preserve"> has </w:t>
      </w:r>
      <w:r>
        <w:rPr>
          <w:rFonts w:cs="Arial"/>
        </w:rPr>
        <w:t>decreased</w:t>
      </w:r>
      <w:r w:rsidRPr="00CD40A7">
        <w:rPr>
          <w:rFonts w:cs="Arial"/>
        </w:rPr>
        <w:t xml:space="preserve"> by £0.</w:t>
      </w:r>
      <w:r w:rsidR="00C27ADC">
        <w:rPr>
          <w:rFonts w:cs="Arial"/>
        </w:rPr>
        <w:t>020</w:t>
      </w:r>
      <w:r w:rsidRPr="00CD40A7">
        <w:rPr>
          <w:rFonts w:cs="Arial"/>
        </w:rPr>
        <w:t xml:space="preserve">m compared to Quarter </w:t>
      </w:r>
      <w:r>
        <w:rPr>
          <w:rFonts w:cs="Arial"/>
        </w:rPr>
        <w:t xml:space="preserve">3. </w:t>
      </w:r>
    </w:p>
    <w:p w:rsidR="00026737" w:rsidRDefault="00A953D6" w:rsidP="00026737">
      <w:pPr>
        <w:spacing w:after="0"/>
        <w:rPr>
          <w:rFonts w:cs="Arial"/>
          <w:b/>
          <w:u w:val="single"/>
        </w:rPr>
      </w:pPr>
    </w:p>
    <w:p w:rsidR="00026737" w:rsidRDefault="008A011B" w:rsidP="00026737">
      <w:pPr>
        <w:spacing w:after="0"/>
      </w:pPr>
      <w:r w:rsidRPr="00C80EFE">
        <w:rPr>
          <w:b/>
          <w:i/>
        </w:rPr>
        <w:t>3.5.1 Economic Development</w:t>
      </w:r>
      <w:r>
        <w:t xml:space="preserve"> has underspent by £0.158m in 2017/18.  This is the result of a one off business investment return to the service within its operational costs, with the service continuing to secure significant external funding to support the delivery of shared priorities.</w:t>
      </w:r>
    </w:p>
    <w:p w:rsidR="00026737" w:rsidRDefault="00A953D6" w:rsidP="00026737">
      <w:pPr>
        <w:spacing w:after="0"/>
      </w:pPr>
    </w:p>
    <w:p w:rsidR="00026737" w:rsidRPr="008973E9" w:rsidRDefault="008A011B" w:rsidP="00026737">
      <w:pPr>
        <w:spacing w:after="0"/>
        <w:rPr>
          <w:rFonts w:eastAsiaTheme="minorHAnsi" w:cs="Times New Roman"/>
          <w:color w:val="auto"/>
          <w:sz w:val="22"/>
          <w:szCs w:val="22"/>
        </w:rPr>
      </w:pPr>
      <w:r w:rsidRPr="00C80EFE">
        <w:rPr>
          <w:b/>
          <w:bCs/>
          <w:i/>
        </w:rPr>
        <w:t>3.5.5 Planning and Environment</w:t>
      </w:r>
      <w:r>
        <w:rPr>
          <w:bCs/>
        </w:rPr>
        <w:t xml:space="preserve"> has underspent by £0.432m in 2017/18 largely due to income generation activities, staffing underspends and an over accrual in 2016/17.</w:t>
      </w:r>
    </w:p>
    <w:p w:rsidR="00026737" w:rsidRDefault="00A953D6" w:rsidP="00026737">
      <w:pPr>
        <w:autoSpaceDE/>
        <w:autoSpaceDN/>
        <w:adjustRightInd/>
        <w:spacing w:after="0"/>
        <w:rPr>
          <w:bCs/>
        </w:rPr>
      </w:pPr>
    </w:p>
    <w:p w:rsidR="00026737" w:rsidRDefault="008A011B">
      <w:pPr>
        <w:autoSpaceDE/>
        <w:autoSpaceDN/>
        <w:adjustRightInd/>
        <w:spacing w:after="0"/>
        <w:jc w:val="left"/>
        <w:rPr>
          <w:rFonts w:cs="Arial"/>
          <w:b/>
          <w:u w:val="single"/>
        </w:rPr>
      </w:pPr>
      <w:r>
        <w:rPr>
          <w:rFonts w:cs="Arial"/>
          <w:b/>
          <w:u w:val="single"/>
        </w:rPr>
        <w:br w:type="page"/>
      </w:r>
    </w:p>
    <w:p w:rsidR="00026737" w:rsidRPr="00D40856" w:rsidRDefault="008A011B" w:rsidP="00026737">
      <w:pPr>
        <w:spacing w:after="0"/>
        <w:rPr>
          <w:rFonts w:eastAsia="Times New Roman" w:cs="Arial"/>
          <w:b/>
          <w:lang w:eastAsia="en-G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6</w:t>
      </w:r>
      <w:r w:rsidRPr="00FB36C0">
        <w:rPr>
          <w:rFonts w:eastAsia="Times New Roman" w:cs="Arial"/>
          <w:b/>
          <w:lang w:eastAsia="en-GB"/>
        </w:rPr>
        <w:tab/>
      </w:r>
      <w:r>
        <w:rPr>
          <w:rFonts w:cs="Arial"/>
          <w:b/>
        </w:rPr>
        <w:t>Programmes and Project Management</w:t>
      </w:r>
    </w:p>
    <w:p w:rsidR="00026737" w:rsidRDefault="00A953D6" w:rsidP="00026737">
      <w:pPr>
        <w:spacing w:after="0"/>
        <w:rPr>
          <w:rFonts w:cs="Arial"/>
          <w:b/>
          <w:u w:val="single"/>
        </w:rPr>
      </w:pPr>
    </w:p>
    <w:tbl>
      <w:tblPr>
        <w:tblW w:w="9209" w:type="dxa"/>
        <w:tblLayout w:type="fixed"/>
        <w:tblLook w:val="04A0" w:firstRow="1" w:lastRow="0" w:firstColumn="1" w:lastColumn="0" w:noHBand="0" w:noVBand="1"/>
      </w:tblPr>
      <w:tblGrid>
        <w:gridCol w:w="846"/>
        <w:gridCol w:w="2410"/>
        <w:gridCol w:w="1275"/>
        <w:gridCol w:w="1134"/>
        <w:gridCol w:w="1134"/>
        <w:gridCol w:w="1134"/>
        <w:gridCol w:w="1276"/>
      </w:tblGrid>
      <w:tr w:rsidR="006D1BD3" w:rsidTr="00026737">
        <w:trPr>
          <w:trHeight w:val="747"/>
        </w:trPr>
        <w:tc>
          <w:tcPr>
            <w:tcW w:w="846"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241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Head o</w:t>
            </w:r>
            <w:r w:rsidRPr="00F97006">
              <w:rPr>
                <w:rFonts w:eastAsia="Times New Roman" w:cs="Arial"/>
                <w:b/>
                <w:bCs/>
                <w:sz w:val="22"/>
                <w:szCs w:val="22"/>
                <w:lang w:eastAsia="en-GB"/>
              </w:rPr>
              <w:t>f Service</w:t>
            </w:r>
          </w:p>
        </w:tc>
        <w:tc>
          <w:tcPr>
            <w:tcW w:w="12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127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285"/>
        </w:trPr>
        <w:tc>
          <w:tcPr>
            <w:tcW w:w="846"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41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2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27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523"/>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3.6.1</w:t>
            </w:r>
          </w:p>
        </w:tc>
        <w:tc>
          <w:tcPr>
            <w:tcW w:w="241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Core Business Systems Transformation</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175"/>
              <w:jc w:val="right"/>
              <w:rPr>
                <w:rFonts w:eastAsia="Times New Roman" w:cs="Arial"/>
                <w:sz w:val="22"/>
                <w:szCs w:val="22"/>
                <w:lang w:eastAsia="en-GB"/>
              </w:rPr>
            </w:pPr>
            <w:r w:rsidRPr="00F97006">
              <w:rPr>
                <w:rFonts w:eastAsia="Times New Roman" w:cs="Arial"/>
                <w:sz w:val="22"/>
                <w:szCs w:val="22"/>
                <w:lang w:eastAsia="en-GB"/>
              </w:rPr>
              <w:t>4.292</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4.518</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0.226</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-0.002</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34"/>
              <w:jc w:val="right"/>
              <w:rPr>
                <w:rFonts w:eastAsia="Times New Roman" w:cs="Arial"/>
                <w:sz w:val="22"/>
                <w:szCs w:val="22"/>
                <w:lang w:eastAsia="en-GB"/>
              </w:rPr>
            </w:pPr>
            <w:r w:rsidRPr="00F97006">
              <w:rPr>
                <w:rFonts w:eastAsia="Times New Roman" w:cs="Arial"/>
                <w:sz w:val="22"/>
                <w:szCs w:val="22"/>
                <w:lang w:eastAsia="en-GB"/>
              </w:rPr>
              <w:t>5.27%</w:t>
            </w:r>
          </w:p>
        </w:tc>
      </w:tr>
      <w:tr w:rsidR="006D1BD3" w:rsidTr="00026737">
        <w:trPr>
          <w:trHeight w:val="68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3.6.2</w:t>
            </w:r>
          </w:p>
        </w:tc>
        <w:tc>
          <w:tcPr>
            <w:tcW w:w="241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Design</w:t>
            </w:r>
            <w:r>
              <w:rPr>
                <w:rFonts w:eastAsia="Times New Roman" w:cs="Arial"/>
                <w:sz w:val="22"/>
                <w:szCs w:val="22"/>
                <w:lang w:eastAsia="en-GB"/>
              </w:rPr>
              <w:t xml:space="preserve"> &amp;</w:t>
            </w:r>
            <w:r w:rsidRPr="00F97006">
              <w:rPr>
                <w:rFonts w:eastAsia="Times New Roman" w:cs="Arial"/>
                <w:sz w:val="22"/>
                <w:szCs w:val="22"/>
                <w:lang w:eastAsia="en-GB"/>
              </w:rPr>
              <w:t xml:space="preserve"> Construction</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175"/>
              <w:jc w:val="right"/>
              <w:rPr>
                <w:rFonts w:eastAsia="Times New Roman" w:cs="Arial"/>
                <w:sz w:val="22"/>
                <w:szCs w:val="22"/>
                <w:lang w:eastAsia="en-GB"/>
              </w:rPr>
            </w:pPr>
            <w:r w:rsidRPr="00F97006">
              <w:rPr>
                <w:rFonts w:eastAsia="Times New Roman" w:cs="Arial"/>
                <w:sz w:val="22"/>
                <w:szCs w:val="22"/>
                <w:lang w:eastAsia="en-GB"/>
              </w:rPr>
              <w:t>-1.989</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-1.960</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0.029</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0.096</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34"/>
              <w:jc w:val="right"/>
              <w:rPr>
                <w:rFonts w:eastAsia="Times New Roman" w:cs="Arial"/>
                <w:sz w:val="22"/>
                <w:szCs w:val="22"/>
                <w:lang w:eastAsia="en-GB"/>
              </w:rPr>
            </w:pPr>
            <w:r w:rsidRPr="00F97006">
              <w:rPr>
                <w:rFonts w:eastAsia="Times New Roman" w:cs="Arial"/>
                <w:sz w:val="22"/>
                <w:szCs w:val="22"/>
                <w:lang w:eastAsia="en-GB"/>
              </w:rPr>
              <w:t>-1.46%</w:t>
            </w:r>
          </w:p>
        </w:tc>
      </w:tr>
      <w:tr w:rsidR="006D1BD3" w:rsidTr="00026737">
        <w:trPr>
          <w:trHeight w:val="427"/>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3.6.3</w:t>
            </w:r>
          </w:p>
        </w:tc>
        <w:tc>
          <w:tcPr>
            <w:tcW w:w="241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Programme Office</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175"/>
              <w:jc w:val="right"/>
              <w:rPr>
                <w:rFonts w:eastAsia="Times New Roman" w:cs="Arial"/>
                <w:sz w:val="22"/>
                <w:szCs w:val="22"/>
                <w:lang w:eastAsia="en-GB"/>
              </w:rPr>
            </w:pPr>
            <w:r w:rsidRPr="00F97006">
              <w:rPr>
                <w:rFonts w:eastAsia="Times New Roman" w:cs="Arial"/>
                <w:sz w:val="22"/>
                <w:szCs w:val="22"/>
                <w:lang w:eastAsia="en-GB"/>
              </w:rPr>
              <w:t>-0.022</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0.257</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0.279</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0.264</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34"/>
              <w:jc w:val="right"/>
              <w:rPr>
                <w:rFonts w:eastAsia="Times New Roman" w:cs="Arial"/>
                <w:sz w:val="22"/>
                <w:szCs w:val="22"/>
                <w:lang w:eastAsia="en-GB"/>
              </w:rPr>
            </w:pPr>
            <w:r w:rsidRPr="00F97006">
              <w:rPr>
                <w:rFonts w:eastAsia="Times New Roman" w:cs="Arial"/>
                <w:sz w:val="22"/>
                <w:szCs w:val="22"/>
                <w:lang w:eastAsia="en-GB"/>
              </w:rPr>
              <w:t>-1268.18%</w:t>
            </w:r>
          </w:p>
        </w:tc>
      </w:tr>
      <w:tr w:rsidR="006D1BD3" w:rsidTr="00026737">
        <w:trPr>
          <w:trHeight w:val="55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3.6.4</w:t>
            </w:r>
          </w:p>
        </w:tc>
        <w:tc>
          <w:tcPr>
            <w:tcW w:w="241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Customer Access</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175"/>
              <w:jc w:val="right"/>
              <w:rPr>
                <w:rFonts w:eastAsia="Times New Roman" w:cs="Arial"/>
                <w:sz w:val="22"/>
                <w:szCs w:val="22"/>
                <w:lang w:eastAsia="en-GB"/>
              </w:rPr>
            </w:pPr>
            <w:r w:rsidRPr="00F97006">
              <w:rPr>
                <w:rFonts w:eastAsia="Times New Roman" w:cs="Arial"/>
                <w:sz w:val="22"/>
                <w:szCs w:val="22"/>
                <w:lang w:eastAsia="en-GB"/>
              </w:rPr>
              <w:t>3.781</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2.645</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-1.136</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ind w:right="98"/>
              <w:jc w:val="right"/>
              <w:rPr>
                <w:rFonts w:eastAsia="Times New Roman" w:cs="Arial"/>
                <w:sz w:val="22"/>
                <w:szCs w:val="22"/>
                <w:lang w:eastAsia="en-GB"/>
              </w:rPr>
            </w:pPr>
            <w:r w:rsidRPr="00F97006">
              <w:rPr>
                <w:rFonts w:eastAsia="Times New Roman" w:cs="Arial"/>
                <w:sz w:val="22"/>
                <w:szCs w:val="22"/>
                <w:lang w:eastAsia="en-GB"/>
              </w:rPr>
              <w:t>-0.538</w:t>
            </w:r>
          </w:p>
        </w:tc>
        <w:tc>
          <w:tcPr>
            <w:tcW w:w="12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ind w:right="34"/>
              <w:jc w:val="right"/>
              <w:rPr>
                <w:rFonts w:eastAsia="Times New Roman" w:cs="Arial"/>
                <w:sz w:val="22"/>
                <w:szCs w:val="22"/>
                <w:lang w:eastAsia="en-GB"/>
              </w:rPr>
            </w:pPr>
            <w:r w:rsidRPr="00F97006">
              <w:rPr>
                <w:rFonts w:eastAsia="Times New Roman" w:cs="Arial"/>
                <w:sz w:val="22"/>
                <w:szCs w:val="22"/>
                <w:lang w:eastAsia="en-GB"/>
              </w:rPr>
              <w:t>-30.04%</w:t>
            </w:r>
          </w:p>
        </w:tc>
      </w:tr>
      <w:tr w:rsidR="006D1BD3" w:rsidTr="00026737">
        <w:trPr>
          <w:trHeight w:val="804"/>
        </w:trPr>
        <w:tc>
          <w:tcPr>
            <w:tcW w:w="846"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41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Programmes And Projects</w:t>
            </w:r>
          </w:p>
        </w:tc>
        <w:tc>
          <w:tcPr>
            <w:tcW w:w="12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175"/>
              <w:jc w:val="right"/>
              <w:rPr>
                <w:rFonts w:eastAsia="Times New Roman" w:cs="Arial"/>
                <w:b/>
                <w:bCs/>
                <w:sz w:val="22"/>
                <w:szCs w:val="22"/>
                <w:lang w:eastAsia="en-GB"/>
              </w:rPr>
            </w:pPr>
            <w:r w:rsidRPr="00F97006">
              <w:rPr>
                <w:rFonts w:eastAsia="Times New Roman" w:cs="Arial"/>
                <w:b/>
                <w:bCs/>
                <w:sz w:val="22"/>
                <w:szCs w:val="22"/>
                <w:lang w:eastAsia="en-GB"/>
              </w:rPr>
              <w:t>6.062</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5.460</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98"/>
              <w:jc w:val="right"/>
              <w:rPr>
                <w:rFonts w:eastAsia="Times New Roman" w:cs="Arial"/>
                <w:b/>
                <w:bCs/>
                <w:sz w:val="22"/>
                <w:szCs w:val="22"/>
                <w:lang w:eastAsia="en-GB"/>
              </w:rPr>
            </w:pPr>
            <w:r w:rsidRPr="00F97006">
              <w:rPr>
                <w:rFonts w:eastAsia="Times New Roman" w:cs="Arial"/>
                <w:b/>
                <w:bCs/>
                <w:sz w:val="22"/>
                <w:szCs w:val="22"/>
                <w:lang w:eastAsia="en-GB"/>
              </w:rPr>
              <w:t>-0.602</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98"/>
              <w:jc w:val="right"/>
              <w:rPr>
                <w:rFonts w:eastAsia="Times New Roman" w:cs="Arial"/>
                <w:b/>
                <w:bCs/>
                <w:sz w:val="22"/>
                <w:szCs w:val="22"/>
                <w:lang w:eastAsia="en-GB"/>
              </w:rPr>
            </w:pPr>
            <w:r w:rsidRPr="00F97006">
              <w:rPr>
                <w:rFonts w:eastAsia="Times New Roman" w:cs="Arial"/>
                <w:b/>
                <w:bCs/>
                <w:sz w:val="22"/>
                <w:szCs w:val="22"/>
                <w:lang w:eastAsia="en-GB"/>
              </w:rPr>
              <w:t>-0.181</w:t>
            </w:r>
          </w:p>
        </w:tc>
        <w:tc>
          <w:tcPr>
            <w:tcW w:w="127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34"/>
              <w:jc w:val="right"/>
              <w:rPr>
                <w:rFonts w:eastAsia="Times New Roman" w:cs="Arial"/>
                <w:b/>
                <w:bCs/>
                <w:sz w:val="22"/>
                <w:szCs w:val="22"/>
                <w:lang w:eastAsia="en-GB"/>
              </w:rPr>
            </w:pPr>
            <w:r w:rsidRPr="00F97006">
              <w:rPr>
                <w:rFonts w:eastAsia="Times New Roman" w:cs="Arial"/>
                <w:b/>
                <w:bCs/>
                <w:sz w:val="22"/>
                <w:szCs w:val="22"/>
                <w:lang w:eastAsia="en-GB"/>
              </w:rPr>
              <w:t>-9.93%</w:t>
            </w:r>
          </w:p>
        </w:tc>
      </w:tr>
    </w:tbl>
    <w:p w:rsidR="00026737" w:rsidRDefault="00A953D6" w:rsidP="00026737">
      <w:pPr>
        <w:spacing w:after="0"/>
        <w:rPr>
          <w:rFonts w:cs="Arial"/>
          <w:b/>
          <w:u w:val="single"/>
        </w:rPr>
      </w:pPr>
    </w:p>
    <w:p w:rsidR="00026737" w:rsidRDefault="008A011B" w:rsidP="00026737">
      <w:pPr>
        <w:spacing w:after="0"/>
        <w:rPr>
          <w:rFonts w:cs="Arial"/>
        </w:rPr>
      </w:pPr>
      <w:r w:rsidRPr="00871D9A">
        <w:rPr>
          <w:rFonts w:cs="Arial"/>
        </w:rPr>
        <w:t>Programmes and Project Management have underspent by £0.602m in 2017</w:t>
      </w:r>
      <w:r>
        <w:rPr>
          <w:rFonts w:cs="Arial"/>
        </w:rPr>
        <w:t>/18</w:t>
      </w:r>
      <w:r w:rsidRPr="00CD40A7">
        <w:rPr>
          <w:rFonts w:cs="Arial"/>
        </w:rPr>
        <w:t>.</w:t>
      </w:r>
      <w:r>
        <w:rPr>
          <w:rFonts w:cs="Arial"/>
        </w:rPr>
        <w:t xml:space="preserve"> The final outturn position has </w:t>
      </w:r>
      <w:r w:rsidRPr="00871D9A">
        <w:rPr>
          <w:rFonts w:cs="Arial"/>
        </w:rPr>
        <w:t xml:space="preserve">improved by </w:t>
      </w:r>
      <w:r>
        <w:rPr>
          <w:rFonts w:cs="Arial"/>
        </w:rPr>
        <w:t>£0.421</w:t>
      </w:r>
      <w:r w:rsidRPr="00871D9A">
        <w:rPr>
          <w:rFonts w:cs="Arial"/>
        </w:rPr>
        <w:t>m compared</w:t>
      </w:r>
      <w:r w:rsidRPr="00CD40A7">
        <w:rPr>
          <w:rFonts w:cs="Arial"/>
        </w:rPr>
        <w:t xml:space="preserve"> to</w:t>
      </w:r>
      <w:r>
        <w:rPr>
          <w:rFonts w:cs="Arial"/>
        </w:rPr>
        <w:t xml:space="preserve"> the </w:t>
      </w:r>
      <w:r w:rsidRPr="00CD40A7">
        <w:rPr>
          <w:rFonts w:cs="Arial"/>
        </w:rPr>
        <w:t xml:space="preserve">Quarter </w:t>
      </w:r>
      <w:r>
        <w:rPr>
          <w:rFonts w:cs="Arial"/>
        </w:rPr>
        <w:t>3</w:t>
      </w:r>
      <w:r w:rsidRPr="00CD40A7">
        <w:rPr>
          <w:rFonts w:cs="Arial"/>
        </w:rPr>
        <w:t xml:space="preserve"> </w:t>
      </w:r>
      <w:r>
        <w:rPr>
          <w:rFonts w:cs="Arial"/>
        </w:rPr>
        <w:t xml:space="preserve">position reported to </w:t>
      </w:r>
      <w:r w:rsidRPr="00CD40A7">
        <w:rPr>
          <w:rFonts w:cs="Arial"/>
        </w:rPr>
        <w:t>Cabinet.</w:t>
      </w:r>
    </w:p>
    <w:p w:rsidR="00026737" w:rsidRDefault="00A953D6" w:rsidP="00026737">
      <w:pPr>
        <w:spacing w:after="0"/>
        <w:contextualSpacing/>
        <w:rPr>
          <w:rFonts w:cs="Arial"/>
        </w:rPr>
      </w:pPr>
    </w:p>
    <w:p w:rsidR="00026737" w:rsidRPr="001B2411" w:rsidRDefault="008A011B" w:rsidP="00026737">
      <w:pPr>
        <w:spacing w:after="0"/>
        <w:contextualSpacing/>
        <w:rPr>
          <w:rFonts w:cs="Arial"/>
        </w:rPr>
      </w:pPr>
      <w:r w:rsidRPr="00C80EFE">
        <w:rPr>
          <w:rFonts w:cs="Arial"/>
          <w:b/>
          <w:i/>
        </w:rPr>
        <w:t>3.6.1 Core Business Systems/Transformation</w:t>
      </w:r>
      <w:r w:rsidRPr="007C574F">
        <w:rPr>
          <w:rFonts w:cs="Arial"/>
        </w:rPr>
        <w:t xml:space="preserve"> has overspent by £0.</w:t>
      </w:r>
      <w:r>
        <w:rPr>
          <w:rFonts w:cs="Arial"/>
        </w:rPr>
        <w:t>226</w:t>
      </w:r>
      <w:r w:rsidRPr="007C574F">
        <w:rPr>
          <w:rFonts w:cs="Arial"/>
        </w:rPr>
        <w:t xml:space="preserve">m in 2017/18. </w:t>
      </w:r>
      <w:r>
        <w:rPr>
          <w:rFonts w:cs="Arial"/>
        </w:rPr>
        <w:t xml:space="preserve"> </w:t>
      </w:r>
      <w:r w:rsidRPr="007C574F">
        <w:rPr>
          <w:rFonts w:cs="Arial"/>
        </w:rPr>
        <w:t>One-off costs of £0.280m</w:t>
      </w:r>
      <w:r>
        <w:rPr>
          <w:rFonts w:cs="Arial"/>
        </w:rPr>
        <w:t xml:space="preserve"> relate to additional</w:t>
      </w:r>
      <w:r w:rsidRPr="007C574F">
        <w:rPr>
          <w:rFonts w:cs="Arial"/>
        </w:rPr>
        <w:t xml:space="preserve"> work completed for the apprentice levy and the Egress secure mail system.  </w:t>
      </w:r>
    </w:p>
    <w:p w:rsidR="00026737" w:rsidRDefault="00A953D6" w:rsidP="00026737">
      <w:pPr>
        <w:tabs>
          <w:tab w:val="left" w:pos="851"/>
          <w:tab w:val="left" w:pos="1418"/>
        </w:tabs>
        <w:spacing w:after="0"/>
      </w:pPr>
    </w:p>
    <w:p w:rsidR="00026737" w:rsidRDefault="008A011B" w:rsidP="00026737">
      <w:pPr>
        <w:spacing w:after="0"/>
        <w:contextualSpacing/>
        <w:rPr>
          <w:rFonts w:cs="Arial"/>
        </w:rPr>
      </w:pPr>
      <w:r w:rsidRPr="00786A2C">
        <w:rPr>
          <w:rFonts w:cs="Arial"/>
          <w:b/>
          <w:i/>
        </w:rPr>
        <w:t>3.6.3 Programme Office</w:t>
      </w:r>
      <w:r w:rsidRPr="00F75AB2">
        <w:rPr>
          <w:rFonts w:cs="Arial"/>
        </w:rPr>
        <w:t xml:space="preserve"> has </w:t>
      </w:r>
      <w:r w:rsidRPr="00871D9A">
        <w:rPr>
          <w:rFonts w:cs="Arial"/>
        </w:rPr>
        <w:t>overspent by £0.2</w:t>
      </w:r>
      <w:r>
        <w:rPr>
          <w:rFonts w:cs="Arial"/>
        </w:rPr>
        <w:t>79</w:t>
      </w:r>
      <w:r w:rsidRPr="00871D9A">
        <w:rPr>
          <w:rFonts w:cs="Arial"/>
        </w:rPr>
        <w:t>m in 2017</w:t>
      </w:r>
      <w:r>
        <w:rPr>
          <w:rFonts w:cs="Arial"/>
        </w:rPr>
        <w:t xml:space="preserve">/18 due to under recovery of income. There has not been a significant change in position compared to the position reported to Cabinet at Quarter 3. </w:t>
      </w:r>
    </w:p>
    <w:p w:rsidR="00026737" w:rsidRDefault="00A953D6" w:rsidP="00026737">
      <w:pPr>
        <w:tabs>
          <w:tab w:val="left" w:pos="851"/>
          <w:tab w:val="left" w:pos="1418"/>
        </w:tabs>
        <w:spacing w:after="0"/>
        <w:rPr>
          <w:b/>
          <w:bCs/>
        </w:rPr>
      </w:pPr>
    </w:p>
    <w:p w:rsidR="00026737" w:rsidRPr="001B2411" w:rsidRDefault="008A011B" w:rsidP="00026737">
      <w:pPr>
        <w:spacing w:after="0"/>
        <w:rPr>
          <w:rFonts w:cs="Arial"/>
        </w:rPr>
      </w:pPr>
      <w:r w:rsidRPr="00786A2C">
        <w:rPr>
          <w:rFonts w:cs="Arial"/>
          <w:b/>
          <w:i/>
        </w:rPr>
        <w:t>3.6.4 Customer Access</w:t>
      </w:r>
      <w:r w:rsidRPr="00A30C2F">
        <w:rPr>
          <w:rFonts w:cs="Arial"/>
        </w:rPr>
        <w:t xml:space="preserve"> </w:t>
      </w:r>
      <w:r>
        <w:rPr>
          <w:rFonts w:cs="Arial"/>
        </w:rPr>
        <w:t xml:space="preserve">has achieved an underspend of £1.136m in 2017/18, mainly due to staffing underspends caused by staff vacancies and </w:t>
      </w:r>
      <w:r w:rsidRPr="00A30C2F">
        <w:rPr>
          <w:rFonts w:cs="Arial"/>
        </w:rPr>
        <w:t>additional income generation</w:t>
      </w:r>
      <w:r>
        <w:rPr>
          <w:rFonts w:cs="Arial"/>
        </w:rPr>
        <w:t>.</w:t>
      </w:r>
      <w:r w:rsidRPr="00A30C2F">
        <w:rPr>
          <w:rFonts w:cs="Arial"/>
        </w:rPr>
        <w:t xml:space="preserve"> </w:t>
      </w:r>
    </w:p>
    <w:p w:rsidR="00026737" w:rsidRPr="00845D4F" w:rsidRDefault="00A953D6" w:rsidP="00026737">
      <w:pPr>
        <w:spacing w:after="0"/>
      </w:pPr>
    </w:p>
    <w:p w:rsidR="00026737" w:rsidRDefault="008A011B" w:rsidP="00026737">
      <w:pPr>
        <w:autoSpaceDE/>
        <w:autoSpaceDN/>
        <w:adjustRightInd/>
        <w:spacing w:after="0"/>
        <w:jc w:val="left"/>
        <w:rPr>
          <w:rFonts w:cs="Arial"/>
        </w:rPr>
      </w:pPr>
      <w:r>
        <w:rPr>
          <w:rFonts w:cs="Arial"/>
        </w:rPr>
        <w:br w:type="page"/>
      </w:r>
    </w:p>
    <w:p w:rsidR="00026737" w:rsidRDefault="008A011B" w:rsidP="00026737">
      <w:pPr>
        <w:spacing w:after="0"/>
        <w:rPr>
          <w:rFonts w:cs="Arial"/>
          <w: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7</w:t>
      </w:r>
      <w:r w:rsidRPr="00FB36C0">
        <w:rPr>
          <w:rFonts w:eastAsia="Times New Roman" w:cs="Arial"/>
          <w:b/>
          <w:lang w:eastAsia="en-GB"/>
        </w:rPr>
        <w:tab/>
      </w:r>
      <w:r>
        <w:rPr>
          <w:rFonts w:cs="Arial"/>
          <w:b/>
        </w:rPr>
        <w:t xml:space="preserve">Property, Finance and Corporate Services </w:t>
      </w:r>
    </w:p>
    <w:p w:rsidR="00026737" w:rsidRDefault="00A953D6" w:rsidP="00026737">
      <w:pPr>
        <w:autoSpaceDE/>
        <w:autoSpaceDN/>
        <w:adjustRightInd/>
        <w:spacing w:after="0"/>
        <w:jc w:val="left"/>
        <w:rPr>
          <w:b/>
        </w:rPr>
      </w:pPr>
    </w:p>
    <w:tbl>
      <w:tblPr>
        <w:tblW w:w="9356" w:type="dxa"/>
        <w:tblInd w:w="-147" w:type="dxa"/>
        <w:tblLook w:val="04A0" w:firstRow="1" w:lastRow="0" w:firstColumn="1" w:lastColumn="0" w:noHBand="0" w:noVBand="1"/>
      </w:tblPr>
      <w:tblGrid>
        <w:gridCol w:w="828"/>
        <w:gridCol w:w="2575"/>
        <w:gridCol w:w="1275"/>
        <w:gridCol w:w="1023"/>
        <w:gridCol w:w="1134"/>
        <w:gridCol w:w="1134"/>
        <w:gridCol w:w="1387"/>
      </w:tblGrid>
      <w:tr w:rsidR="006D1BD3" w:rsidTr="00026737">
        <w:trPr>
          <w:trHeight w:val="693"/>
        </w:trPr>
        <w:tc>
          <w:tcPr>
            <w:tcW w:w="828"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25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Head </w:t>
            </w:r>
            <w:r>
              <w:rPr>
                <w:rFonts w:eastAsia="Times New Roman" w:cs="Arial"/>
                <w:b/>
                <w:bCs/>
                <w:sz w:val="22"/>
                <w:szCs w:val="22"/>
                <w:lang w:eastAsia="en-GB"/>
              </w:rPr>
              <w:t>o</w:t>
            </w:r>
            <w:r w:rsidRPr="00F97006">
              <w:rPr>
                <w:rFonts w:eastAsia="Times New Roman" w:cs="Arial"/>
                <w:b/>
                <w:bCs/>
                <w:sz w:val="22"/>
                <w:szCs w:val="22"/>
                <w:lang w:eastAsia="en-GB"/>
              </w:rPr>
              <w:t>f Service</w:t>
            </w:r>
          </w:p>
        </w:tc>
        <w:tc>
          <w:tcPr>
            <w:tcW w:w="12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1023"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134"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138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340"/>
        </w:trPr>
        <w:tc>
          <w:tcPr>
            <w:tcW w:w="828"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5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2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23"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134"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387"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w:t>
            </w:r>
          </w:p>
        </w:tc>
        <w:tc>
          <w:tcPr>
            <w:tcW w:w="25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Asset Management</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9.873</w:t>
            </w:r>
          </w:p>
        </w:tc>
        <w:tc>
          <w:tcPr>
            <w:tcW w:w="1023"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9.082</w:t>
            </w:r>
          </w:p>
        </w:tc>
        <w:tc>
          <w:tcPr>
            <w:tcW w:w="1134"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-0.791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-1.395</w:t>
            </w:r>
          </w:p>
        </w:tc>
        <w:tc>
          <w:tcPr>
            <w:tcW w:w="1387"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-8.01%</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3.7.2</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Facilities Management</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15.756</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17.056</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1.300</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1.779</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8.25%</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3.7.3</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Estates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0.526</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0.495</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-0.031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-5.89%</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3.7.4</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Procurement</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1.547</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1.287</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-0.260</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-0.215</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-16.81%</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3.7.5</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Exchequer Services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3.088</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2.674</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-0.414</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-0.546</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-13.41%</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3.7.6</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Financial</w:t>
            </w:r>
            <w:r>
              <w:rPr>
                <w:rFonts w:eastAsia="Times New Roman" w:cs="Arial"/>
                <w:sz w:val="22"/>
                <w:szCs w:val="22"/>
                <w:lang w:eastAsia="en-GB"/>
              </w:rPr>
              <w:t xml:space="preserve"> Management </w:t>
            </w:r>
            <w:r w:rsidRPr="00F97006">
              <w:rPr>
                <w:rFonts w:eastAsia="Times New Roman" w:cs="Arial"/>
                <w:sz w:val="22"/>
                <w:szCs w:val="22"/>
                <w:lang w:eastAsia="en-GB"/>
              </w:rPr>
              <w:t xml:space="preserve">(Development </w:t>
            </w:r>
            <w:r>
              <w:rPr>
                <w:rFonts w:eastAsia="Times New Roman" w:cs="Arial"/>
                <w:sz w:val="22"/>
                <w:szCs w:val="22"/>
                <w:lang w:eastAsia="en-GB"/>
              </w:rPr>
              <w:t xml:space="preserve">&amp; </w:t>
            </w:r>
            <w:r w:rsidRPr="00F97006">
              <w:rPr>
                <w:rFonts w:eastAsia="Times New Roman" w:cs="Arial"/>
                <w:sz w:val="22"/>
                <w:szCs w:val="22"/>
                <w:lang w:eastAsia="en-GB"/>
              </w:rPr>
              <w:t>Schools)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0.261</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0.061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-0.200</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-0.078</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-76.63%</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3.7.7</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 xml:space="preserve">Financial Management </w:t>
            </w:r>
            <w:r w:rsidRPr="00F97006">
              <w:rPr>
                <w:rFonts w:eastAsia="Times New Roman" w:cs="Arial"/>
                <w:sz w:val="22"/>
                <w:szCs w:val="22"/>
                <w:lang w:eastAsia="en-GB"/>
              </w:rPr>
              <w:t xml:space="preserve"> (Operational)</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1.820</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1.626</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-0.194</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-0.140</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-10.66%</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3.7.8</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 xml:space="preserve">Office </w:t>
            </w:r>
            <w:r>
              <w:rPr>
                <w:rFonts w:eastAsia="Times New Roman" w:cs="Arial"/>
                <w:sz w:val="22"/>
                <w:szCs w:val="22"/>
                <w:lang w:eastAsia="en-GB"/>
              </w:rPr>
              <w:t>of th</w:t>
            </w:r>
            <w:r w:rsidRPr="00F97006">
              <w:rPr>
                <w:rFonts w:eastAsia="Times New Roman" w:cs="Arial"/>
                <w:sz w:val="22"/>
                <w:szCs w:val="22"/>
                <w:lang w:eastAsia="en-GB"/>
              </w:rPr>
              <w:t xml:space="preserve">e Police </w:t>
            </w:r>
            <w:r>
              <w:rPr>
                <w:rFonts w:eastAsia="Times New Roman" w:cs="Arial"/>
                <w:sz w:val="22"/>
                <w:szCs w:val="22"/>
                <w:lang w:eastAsia="en-GB"/>
              </w:rPr>
              <w:t>&amp; Crime Commissioner Treasurer</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-0.010</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-0.003</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0.007</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0.000</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-70.00%</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3.7.9</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Corporate Finance</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4.968</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4.831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-0.137</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-0.047</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-2.76%</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3.7.10</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Internal Audit</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0.694</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0.617</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-0.077</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-0.064</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-11.10%</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3.7.11</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Skills Learning &amp; Development</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2.827</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2.395</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-0.432</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-0.263</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-15.28%</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3.7.12</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BTLS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18.670</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19.735</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1.065</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1.336</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5.70%</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3.7.13</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Coroner's Service</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2.878</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2.560</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-0.318</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-0.116</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-11.05%</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3.7.14</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 xml:space="preserve">Legal </w:t>
            </w:r>
            <w:r>
              <w:rPr>
                <w:rFonts w:eastAsia="Times New Roman" w:cs="Arial"/>
                <w:sz w:val="22"/>
                <w:szCs w:val="22"/>
                <w:lang w:eastAsia="en-GB"/>
              </w:rPr>
              <w:t xml:space="preserve">&amp; </w:t>
            </w:r>
            <w:r w:rsidRPr="00F97006">
              <w:rPr>
                <w:rFonts w:eastAsia="Times New Roman" w:cs="Arial"/>
                <w:sz w:val="22"/>
                <w:szCs w:val="22"/>
                <w:lang w:eastAsia="en-GB"/>
              </w:rPr>
              <w:t>Democratic Services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13.177</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13.258</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0.081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0.236</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0.61%</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3.7.15</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Human Resources</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0.972</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0.663</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-0.309</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-0.316</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-31.79%</w:t>
            </w:r>
          </w:p>
        </w:tc>
      </w:tr>
      <w:tr w:rsidR="006D1BD3" w:rsidTr="00026737">
        <w:trPr>
          <w:trHeight w:val="506"/>
        </w:trPr>
        <w:tc>
          <w:tcPr>
            <w:tcW w:w="828"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3.7.16</w:t>
            </w:r>
          </w:p>
        </w:tc>
        <w:tc>
          <w:tcPr>
            <w:tcW w:w="25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Business Intelligence</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0.903</w:t>
            </w:r>
          </w:p>
        </w:tc>
        <w:tc>
          <w:tcPr>
            <w:tcW w:w="1023"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0.811</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-0.092</w:t>
            </w:r>
          </w:p>
        </w:tc>
        <w:tc>
          <w:tcPr>
            <w:tcW w:w="1134"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-0.092</w:t>
            </w:r>
          </w:p>
        </w:tc>
        <w:tc>
          <w:tcPr>
            <w:tcW w:w="138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-10.19%</w:t>
            </w:r>
          </w:p>
        </w:tc>
      </w:tr>
      <w:tr w:rsidR="006D1BD3" w:rsidTr="00026737">
        <w:trPr>
          <w:trHeight w:val="775"/>
        </w:trPr>
        <w:tc>
          <w:tcPr>
            <w:tcW w:w="828" w:type="dxa"/>
            <w:tcBorders>
              <w:top w:val="nil"/>
              <w:left w:val="single" w:sz="4" w:space="0" w:color="auto"/>
              <w:bottom w:val="single" w:sz="4" w:space="0" w:color="auto"/>
              <w:right w:val="single" w:sz="4" w:space="0" w:color="auto"/>
            </w:tcBorders>
            <w:shd w:val="clear" w:color="000000" w:fill="D9D9D9"/>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575" w:type="dxa"/>
            <w:tcBorders>
              <w:top w:val="nil"/>
              <w:left w:val="nil"/>
              <w:bottom w:val="single" w:sz="4" w:space="0" w:color="auto"/>
              <w:right w:val="single" w:sz="4" w:space="0" w:color="auto"/>
            </w:tcBorders>
            <w:shd w:val="clear" w:color="000000" w:fill="D9D9D9"/>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 xml:space="preserve">Total – Property, Finance </w:t>
            </w:r>
            <w:r>
              <w:rPr>
                <w:rFonts w:eastAsia="Times New Roman" w:cs="Arial"/>
                <w:b/>
                <w:bCs/>
                <w:sz w:val="22"/>
                <w:szCs w:val="22"/>
                <w:lang w:eastAsia="en-GB"/>
              </w:rPr>
              <w:t xml:space="preserve">&amp; </w:t>
            </w:r>
            <w:r w:rsidRPr="00F97006">
              <w:rPr>
                <w:rFonts w:eastAsia="Times New Roman" w:cs="Arial"/>
                <w:b/>
                <w:bCs/>
                <w:sz w:val="22"/>
                <w:szCs w:val="22"/>
                <w:lang w:eastAsia="en-GB"/>
              </w:rPr>
              <w:t>Corporate Services</w:t>
            </w:r>
          </w:p>
        </w:tc>
        <w:tc>
          <w:tcPr>
            <w:tcW w:w="12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77.950</w:t>
            </w:r>
          </w:p>
        </w:tc>
        <w:tc>
          <w:tcPr>
            <w:tcW w:w="1023"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77.148</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-0.802</w:t>
            </w:r>
          </w:p>
        </w:tc>
        <w:tc>
          <w:tcPr>
            <w:tcW w:w="1134"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0.079</w:t>
            </w:r>
          </w:p>
        </w:tc>
        <w:tc>
          <w:tcPr>
            <w:tcW w:w="138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-1.03%</w:t>
            </w:r>
          </w:p>
        </w:tc>
      </w:tr>
    </w:tbl>
    <w:p w:rsidR="00026737" w:rsidRDefault="00A953D6" w:rsidP="00026737">
      <w:pPr>
        <w:autoSpaceDE/>
        <w:autoSpaceDN/>
        <w:adjustRightInd/>
        <w:spacing w:after="0"/>
        <w:jc w:val="left"/>
        <w:rPr>
          <w:b/>
        </w:rPr>
      </w:pPr>
    </w:p>
    <w:p w:rsidR="00026737" w:rsidRDefault="008A011B" w:rsidP="00026737">
      <w:pPr>
        <w:spacing w:after="0"/>
        <w:rPr>
          <w:rFonts w:cs="Arial"/>
        </w:rPr>
      </w:pPr>
      <w:r>
        <w:rPr>
          <w:rFonts w:cs="Arial"/>
        </w:rPr>
        <w:t xml:space="preserve">Property, Finance and Corporate Services have underspent </w:t>
      </w:r>
      <w:r w:rsidRPr="00CD40A7">
        <w:rPr>
          <w:rFonts w:cs="Arial"/>
        </w:rPr>
        <w:t>by £</w:t>
      </w:r>
      <w:r>
        <w:rPr>
          <w:rFonts w:cs="Arial"/>
        </w:rPr>
        <w:t>0.802</w:t>
      </w:r>
      <w:r w:rsidRPr="00CD40A7">
        <w:rPr>
          <w:rFonts w:cs="Arial"/>
        </w:rPr>
        <w:t>m</w:t>
      </w:r>
      <w:r>
        <w:rPr>
          <w:rFonts w:cs="Arial"/>
        </w:rPr>
        <w:t xml:space="preserve"> in 2017/18</w:t>
      </w:r>
      <w:r w:rsidRPr="00CD40A7">
        <w:rPr>
          <w:rFonts w:cs="Arial"/>
        </w:rPr>
        <w:t>.</w:t>
      </w:r>
      <w:r>
        <w:rPr>
          <w:rFonts w:cs="Arial"/>
        </w:rPr>
        <w:t xml:space="preserve"> The final outturn position has improved by £0.881m </w:t>
      </w:r>
      <w:r w:rsidRPr="00CD40A7">
        <w:rPr>
          <w:rFonts w:cs="Arial"/>
        </w:rPr>
        <w:t>compared to</w:t>
      </w:r>
      <w:r>
        <w:rPr>
          <w:rFonts w:cs="Arial"/>
        </w:rPr>
        <w:t xml:space="preserve"> the </w:t>
      </w:r>
      <w:r w:rsidRPr="00CD40A7">
        <w:rPr>
          <w:rFonts w:cs="Arial"/>
        </w:rPr>
        <w:t xml:space="preserve">Quarter </w:t>
      </w:r>
      <w:r>
        <w:rPr>
          <w:rFonts w:cs="Arial"/>
        </w:rPr>
        <w:t>3</w:t>
      </w:r>
      <w:r w:rsidRPr="00CD40A7">
        <w:rPr>
          <w:rFonts w:cs="Arial"/>
        </w:rPr>
        <w:t xml:space="preserve"> </w:t>
      </w:r>
      <w:r>
        <w:rPr>
          <w:rFonts w:cs="Arial"/>
        </w:rPr>
        <w:t xml:space="preserve">position reported to </w:t>
      </w:r>
      <w:r w:rsidRPr="00CD40A7">
        <w:rPr>
          <w:rFonts w:cs="Arial"/>
        </w:rPr>
        <w:t>Cabinet</w:t>
      </w:r>
      <w:r>
        <w:rPr>
          <w:rFonts w:cs="Arial"/>
        </w:rPr>
        <w:t>.</w:t>
      </w:r>
    </w:p>
    <w:p w:rsidR="00026737" w:rsidRDefault="00A953D6" w:rsidP="00026737">
      <w:pPr>
        <w:tabs>
          <w:tab w:val="left" w:pos="851"/>
          <w:tab w:val="left" w:pos="1418"/>
        </w:tabs>
        <w:spacing w:after="0"/>
        <w:contextualSpacing/>
        <w:rPr>
          <w:rFonts w:cs="Arial"/>
        </w:rPr>
      </w:pPr>
    </w:p>
    <w:p w:rsidR="00026737" w:rsidRDefault="008A011B" w:rsidP="00026737">
      <w:pPr>
        <w:spacing w:after="0"/>
        <w:rPr>
          <w:rFonts w:cs="Arial"/>
        </w:rPr>
      </w:pPr>
      <w:r w:rsidRPr="00786A2C">
        <w:rPr>
          <w:rFonts w:cs="Arial"/>
          <w:b/>
          <w:i/>
        </w:rPr>
        <w:t>3.7.1 Asset Management</w:t>
      </w:r>
      <w:r>
        <w:rPr>
          <w:rFonts w:cs="Arial"/>
        </w:rPr>
        <w:t xml:space="preserve"> has underspent by £0.791m in 2017/18 primarily due to underspends on street lighting energy and various smaller items such as Building Schools for the Future funding. The position has deteriorated compared to Quarter 3 due to a lower than anticipated utility recharge that will be recovered and included in the 2018/19 income for the service. </w:t>
      </w:r>
      <w:r w:rsidRPr="00DE5257">
        <w:rPr>
          <w:rFonts w:cs="Arial"/>
        </w:rPr>
        <w:t xml:space="preserve"> </w:t>
      </w:r>
    </w:p>
    <w:p w:rsidR="00026737" w:rsidRPr="001B2411" w:rsidRDefault="00A953D6" w:rsidP="00026737">
      <w:pPr>
        <w:spacing w:after="0"/>
        <w:rPr>
          <w:rFonts w:cs="Arial"/>
        </w:rPr>
      </w:pPr>
    </w:p>
    <w:p w:rsidR="00026737" w:rsidRPr="00CB04C6" w:rsidRDefault="008A011B" w:rsidP="00026737">
      <w:pPr>
        <w:spacing w:after="0"/>
        <w:contextualSpacing/>
        <w:rPr>
          <w:rFonts w:cs="Arial"/>
        </w:rPr>
      </w:pPr>
      <w:r w:rsidRPr="00786A2C">
        <w:rPr>
          <w:rFonts w:cs="Arial"/>
          <w:b/>
          <w:i/>
        </w:rPr>
        <w:lastRenderedPageBreak/>
        <w:t>3.7.2 Facilities Management</w:t>
      </w:r>
      <w:r>
        <w:rPr>
          <w:rFonts w:cs="Arial"/>
        </w:rPr>
        <w:t xml:space="preserve"> has overspent by £1.300m in 2017/18 predominantly due to undeliverable savings across property budgets which have been previously reported to Cabinet and built into the MTFS from 2018/19. The position has slightly improved compared to Quarter 3 due to some reduced staffing costs. </w:t>
      </w:r>
    </w:p>
    <w:p w:rsidR="00026737" w:rsidRDefault="00A953D6" w:rsidP="00026737">
      <w:pPr>
        <w:tabs>
          <w:tab w:val="left" w:pos="851"/>
          <w:tab w:val="left" w:pos="1418"/>
        </w:tabs>
        <w:spacing w:after="0"/>
        <w:contextualSpacing/>
        <w:rPr>
          <w:rFonts w:cs="Arial"/>
          <w:b/>
        </w:rPr>
      </w:pPr>
    </w:p>
    <w:p w:rsidR="00026737" w:rsidRDefault="008A011B" w:rsidP="00026737">
      <w:pPr>
        <w:tabs>
          <w:tab w:val="left" w:pos="851"/>
          <w:tab w:val="left" w:pos="1418"/>
        </w:tabs>
        <w:spacing w:after="0"/>
        <w:rPr>
          <w:rFonts w:cs="Arial"/>
        </w:rPr>
      </w:pPr>
      <w:r w:rsidRPr="00786A2C">
        <w:rPr>
          <w:rFonts w:cs="Arial"/>
          <w:b/>
          <w:i/>
        </w:rPr>
        <w:t>3.7.5 – 3.7.9 Financial Services</w:t>
      </w:r>
      <w:r w:rsidRPr="00492E97">
        <w:rPr>
          <w:rFonts w:cs="Arial"/>
        </w:rPr>
        <w:t xml:space="preserve"> </w:t>
      </w:r>
      <w:r>
        <w:rPr>
          <w:rFonts w:cs="Arial"/>
        </w:rPr>
        <w:t>have underspent</w:t>
      </w:r>
      <w:r w:rsidRPr="00492E97">
        <w:rPr>
          <w:rFonts w:cs="Arial"/>
        </w:rPr>
        <w:t xml:space="preserve"> by £0.</w:t>
      </w:r>
      <w:r>
        <w:rPr>
          <w:rFonts w:cs="Arial"/>
        </w:rPr>
        <w:t>938m in 2017</w:t>
      </w:r>
      <w:r w:rsidRPr="00492E97">
        <w:rPr>
          <w:rFonts w:cs="Arial"/>
        </w:rPr>
        <w:t>/1</w:t>
      </w:r>
      <w:r>
        <w:rPr>
          <w:rFonts w:cs="Arial"/>
        </w:rPr>
        <w:t>8</w:t>
      </w:r>
      <w:r w:rsidRPr="00492E97">
        <w:rPr>
          <w:rFonts w:cs="Arial"/>
        </w:rPr>
        <w:t xml:space="preserve">, which relates to </w:t>
      </w:r>
      <w:r>
        <w:rPr>
          <w:rFonts w:cs="Arial"/>
        </w:rPr>
        <w:t xml:space="preserve">mainly to staff vacancies and small underspends across operational costs.  </w:t>
      </w:r>
    </w:p>
    <w:p w:rsidR="00026737" w:rsidRPr="00C87086" w:rsidRDefault="00A953D6" w:rsidP="00026737">
      <w:pPr>
        <w:spacing w:after="0"/>
        <w:contextualSpacing/>
        <w:rPr>
          <w:rFonts w:cs="Arial"/>
        </w:rPr>
      </w:pPr>
    </w:p>
    <w:p w:rsidR="00026737" w:rsidRDefault="008A011B" w:rsidP="00026737">
      <w:pPr>
        <w:spacing w:after="0"/>
        <w:contextualSpacing/>
        <w:rPr>
          <w:rFonts w:cs="Arial"/>
        </w:rPr>
      </w:pPr>
      <w:r w:rsidRPr="00786A2C">
        <w:rPr>
          <w:rFonts w:cs="Arial"/>
          <w:b/>
          <w:i/>
        </w:rPr>
        <w:t>3.7.11 Skills, Learning and Development</w:t>
      </w:r>
      <w:r>
        <w:rPr>
          <w:rFonts w:cs="Arial"/>
        </w:rPr>
        <w:t xml:space="preserve"> has underspent by £0.432m in 2017/18 due to staff vacancies, underspends on training costs and additional income. </w:t>
      </w:r>
    </w:p>
    <w:p w:rsidR="00026737" w:rsidRDefault="00A953D6" w:rsidP="00026737">
      <w:pPr>
        <w:spacing w:after="0"/>
        <w:rPr>
          <w:rFonts w:cs="Arial"/>
          <w:b/>
        </w:rPr>
      </w:pPr>
    </w:p>
    <w:p w:rsidR="00026737" w:rsidRDefault="008A011B" w:rsidP="00026737">
      <w:pPr>
        <w:spacing w:after="0"/>
        <w:rPr>
          <w:rFonts w:cs="Arial"/>
        </w:rPr>
      </w:pPr>
      <w:r w:rsidRPr="00786A2C">
        <w:rPr>
          <w:rFonts w:cs="Arial"/>
          <w:b/>
          <w:i/>
        </w:rPr>
        <w:t>3.7.12 BTLS/Client</w:t>
      </w:r>
      <w:r>
        <w:rPr>
          <w:rFonts w:cs="Arial"/>
        </w:rPr>
        <w:t xml:space="preserve"> has overspent by £1.065m in 2017/18, which is an improved position to that reported at Quarter 3. The overspend is primarily due to delayed delivery of the agreed savings (£0.524m), with further savings expected to be realised in 2018/19. In addition there was a net overspend across other areas relating to reduced income and computer equipment underspends. </w:t>
      </w:r>
    </w:p>
    <w:p w:rsidR="00026737" w:rsidRDefault="00A953D6" w:rsidP="00026737">
      <w:pPr>
        <w:tabs>
          <w:tab w:val="left" w:pos="851"/>
          <w:tab w:val="left" w:pos="1418"/>
        </w:tabs>
        <w:spacing w:after="0"/>
        <w:contextualSpacing/>
        <w:rPr>
          <w:rFonts w:cs="Arial"/>
          <w:b/>
        </w:rPr>
      </w:pPr>
    </w:p>
    <w:p w:rsidR="00026737" w:rsidRPr="00E146D1" w:rsidRDefault="008A011B" w:rsidP="00026737">
      <w:pPr>
        <w:tabs>
          <w:tab w:val="left" w:pos="851"/>
          <w:tab w:val="left" w:pos="1418"/>
        </w:tabs>
        <w:spacing w:after="0"/>
        <w:contextualSpacing/>
        <w:rPr>
          <w:rFonts w:cs="Arial"/>
        </w:rPr>
      </w:pPr>
      <w:r w:rsidRPr="00786A2C">
        <w:rPr>
          <w:rFonts w:cs="Arial"/>
          <w:b/>
          <w:i/>
        </w:rPr>
        <w:t>3.7.13 Coroner's Service</w:t>
      </w:r>
      <w:r w:rsidRPr="00E146D1">
        <w:rPr>
          <w:rFonts w:cs="Arial"/>
        </w:rPr>
        <w:t xml:space="preserve"> </w:t>
      </w:r>
      <w:r>
        <w:rPr>
          <w:rFonts w:cs="Arial"/>
        </w:rPr>
        <w:t xml:space="preserve">has underspent by </w:t>
      </w:r>
      <w:r w:rsidRPr="00E146D1">
        <w:rPr>
          <w:rFonts w:cs="Arial"/>
        </w:rPr>
        <w:t>£0.318m</w:t>
      </w:r>
      <w:r>
        <w:rPr>
          <w:rFonts w:cs="Arial"/>
        </w:rPr>
        <w:t xml:space="preserve"> in 2017/18, an improvement of £0.202m compared to the Quarter 3 position reported to Cabinet. The underspend and improved position is due to savings that have been made as part of new arrangements and reduced activity levels. </w:t>
      </w:r>
    </w:p>
    <w:p w:rsidR="00026737" w:rsidRPr="0000560A" w:rsidRDefault="00A953D6" w:rsidP="00026737">
      <w:pPr>
        <w:tabs>
          <w:tab w:val="left" w:pos="851"/>
          <w:tab w:val="left" w:pos="1418"/>
        </w:tabs>
        <w:spacing w:after="0"/>
        <w:rPr>
          <w:highlight w:val="yellow"/>
        </w:rPr>
      </w:pPr>
    </w:p>
    <w:p w:rsidR="00026737" w:rsidRDefault="008A011B" w:rsidP="00026737">
      <w:pPr>
        <w:tabs>
          <w:tab w:val="left" w:pos="851"/>
          <w:tab w:val="left" w:pos="1418"/>
        </w:tabs>
        <w:spacing w:after="0"/>
        <w:rPr>
          <w:rFonts w:cs="Arial"/>
        </w:rPr>
      </w:pPr>
      <w:r w:rsidRPr="00786A2C">
        <w:rPr>
          <w:rFonts w:cs="Arial"/>
          <w:b/>
          <w:i/>
        </w:rPr>
        <w:t>3.7.15 Human Resources</w:t>
      </w:r>
      <w:r w:rsidRPr="00A30C2F">
        <w:rPr>
          <w:rFonts w:cs="Arial"/>
        </w:rPr>
        <w:t xml:space="preserve"> </w:t>
      </w:r>
      <w:r>
        <w:rPr>
          <w:rFonts w:cs="Arial"/>
        </w:rPr>
        <w:t xml:space="preserve">has underspent by of £0.309m in 2017/18. </w:t>
      </w:r>
      <w:r w:rsidRPr="005742D4">
        <w:rPr>
          <w:rFonts w:cs="Arial"/>
        </w:rPr>
        <w:t xml:space="preserve">The underspend position is predominantly </w:t>
      </w:r>
      <w:r>
        <w:rPr>
          <w:rFonts w:cs="Arial"/>
        </w:rPr>
        <w:t>the</w:t>
      </w:r>
      <w:r w:rsidRPr="005742D4">
        <w:rPr>
          <w:rFonts w:cs="Arial"/>
        </w:rPr>
        <w:t xml:space="preserve"> result of </w:t>
      </w:r>
      <w:r>
        <w:rPr>
          <w:rFonts w:cs="Arial"/>
        </w:rPr>
        <w:t xml:space="preserve">additional income generation against budget </w:t>
      </w:r>
      <w:r w:rsidRPr="005742D4">
        <w:rPr>
          <w:rFonts w:cs="Arial"/>
        </w:rPr>
        <w:t xml:space="preserve">with </w:t>
      </w:r>
      <w:r>
        <w:rPr>
          <w:rFonts w:cs="Arial"/>
        </w:rPr>
        <w:t>less significant underspends achieved due to staff vacancies</w:t>
      </w:r>
      <w:r w:rsidRPr="005742D4">
        <w:rPr>
          <w:rFonts w:cs="Arial"/>
        </w:rPr>
        <w:t xml:space="preserve"> and other expenditure budgets. </w:t>
      </w:r>
      <w:r>
        <w:rPr>
          <w:rFonts w:cs="Arial"/>
        </w:rPr>
        <w:t xml:space="preserve">The outturn position is not significantly different to the forecast presented to Cabinet at Quarter 3. </w:t>
      </w:r>
    </w:p>
    <w:p w:rsidR="00026737" w:rsidRDefault="00A953D6" w:rsidP="00026737">
      <w:pPr>
        <w:tabs>
          <w:tab w:val="left" w:pos="851"/>
          <w:tab w:val="left" w:pos="1418"/>
        </w:tabs>
        <w:spacing w:after="0"/>
        <w:rPr>
          <w:rFonts w:cs="Arial"/>
        </w:rPr>
      </w:pPr>
    </w:p>
    <w:p w:rsidR="00026737" w:rsidRDefault="008A011B" w:rsidP="00026737">
      <w:pPr>
        <w:autoSpaceDE/>
        <w:autoSpaceDN/>
        <w:adjustRightInd/>
        <w:spacing w:after="0"/>
        <w:jc w:val="left"/>
        <w:rPr>
          <w:rFonts w:cs="Arial"/>
        </w:rPr>
      </w:pPr>
      <w:r>
        <w:rPr>
          <w:rFonts w:cs="Arial"/>
        </w:rPr>
        <w:br w:type="page"/>
      </w:r>
    </w:p>
    <w:p w:rsidR="00026737" w:rsidRDefault="008A011B" w:rsidP="00026737">
      <w:pPr>
        <w:spacing w:after="0"/>
        <w:rPr>
          <w:rFonts w:cs="Arial"/>
          <w:b/>
        </w:rPr>
      </w:pPr>
      <w:r>
        <w:rPr>
          <w:rFonts w:eastAsia="Times New Roman" w:cs="Arial"/>
          <w:b/>
          <w:lang w:eastAsia="en-GB"/>
        </w:rPr>
        <w:lastRenderedPageBreak/>
        <w:t>3</w:t>
      </w:r>
      <w:r w:rsidRPr="00FB36C0">
        <w:rPr>
          <w:rFonts w:eastAsia="Times New Roman" w:cs="Arial"/>
          <w:b/>
          <w:lang w:eastAsia="en-GB"/>
        </w:rPr>
        <w:t>.</w:t>
      </w:r>
      <w:r>
        <w:rPr>
          <w:rFonts w:eastAsia="Times New Roman" w:cs="Arial"/>
          <w:b/>
          <w:lang w:eastAsia="en-GB"/>
        </w:rPr>
        <w:t>8</w:t>
      </w:r>
      <w:r w:rsidRPr="00FB36C0">
        <w:rPr>
          <w:rFonts w:eastAsia="Times New Roman" w:cs="Arial"/>
          <w:b/>
          <w:lang w:eastAsia="en-GB"/>
        </w:rPr>
        <w:tab/>
      </w:r>
      <w:r>
        <w:rPr>
          <w:rFonts w:cs="Arial"/>
          <w:b/>
        </w:rPr>
        <w:t>Chief Executive</w:t>
      </w:r>
    </w:p>
    <w:p w:rsidR="00026737" w:rsidRDefault="00A953D6" w:rsidP="00026737">
      <w:pPr>
        <w:autoSpaceDE/>
        <w:autoSpaceDN/>
        <w:adjustRightInd/>
        <w:spacing w:after="0"/>
        <w:rPr>
          <w:rFonts w:cs="Arial"/>
        </w:rPr>
      </w:pPr>
    </w:p>
    <w:tbl>
      <w:tblPr>
        <w:tblW w:w="9067" w:type="dxa"/>
        <w:tblLook w:val="04A0" w:firstRow="1" w:lastRow="0" w:firstColumn="1" w:lastColumn="0" w:noHBand="0" w:noVBand="1"/>
      </w:tblPr>
      <w:tblGrid>
        <w:gridCol w:w="706"/>
        <w:gridCol w:w="2591"/>
        <w:gridCol w:w="1243"/>
        <w:gridCol w:w="1023"/>
        <w:gridCol w:w="1134"/>
        <w:gridCol w:w="1134"/>
        <w:gridCol w:w="1236"/>
      </w:tblGrid>
      <w:tr w:rsidR="006D1BD3" w:rsidTr="00026737">
        <w:trPr>
          <w:trHeight w:val="681"/>
        </w:trPr>
        <w:tc>
          <w:tcPr>
            <w:tcW w:w="661"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Ref</w:t>
            </w:r>
          </w:p>
        </w:tc>
        <w:tc>
          <w:tcPr>
            <w:tcW w:w="2878"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Head o</w:t>
            </w:r>
            <w:r w:rsidRPr="00F97006">
              <w:rPr>
                <w:rFonts w:eastAsia="Times New Roman" w:cs="Arial"/>
                <w:b/>
                <w:bCs/>
                <w:sz w:val="22"/>
                <w:szCs w:val="22"/>
                <w:lang w:eastAsia="en-GB"/>
              </w:rPr>
              <w:t>f Service</w:t>
            </w:r>
          </w:p>
        </w:tc>
        <w:tc>
          <w:tcPr>
            <w:tcW w:w="11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976"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05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c>
          <w:tcPr>
            <w:tcW w:w="1077"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Quarter 3 Forecast Variance</w:t>
            </w:r>
          </w:p>
        </w:tc>
        <w:tc>
          <w:tcPr>
            <w:tcW w:w="1275"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283"/>
        </w:trPr>
        <w:tc>
          <w:tcPr>
            <w:tcW w:w="661"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2878"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1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976"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5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077"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275"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498"/>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3.8.1</w:t>
            </w:r>
          </w:p>
        </w:tc>
        <w:tc>
          <w:tcPr>
            <w:tcW w:w="2878"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Chief Executive Services</w:t>
            </w:r>
          </w:p>
        </w:tc>
        <w:tc>
          <w:tcPr>
            <w:tcW w:w="11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-0.226</w:t>
            </w:r>
          </w:p>
        </w:tc>
        <w:tc>
          <w:tcPr>
            <w:tcW w:w="97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-0.203</w:t>
            </w:r>
          </w:p>
        </w:tc>
        <w:tc>
          <w:tcPr>
            <w:tcW w:w="10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0.023</w:t>
            </w:r>
          </w:p>
        </w:tc>
        <w:tc>
          <w:tcPr>
            <w:tcW w:w="107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0.075</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-10.18%</w:t>
            </w:r>
          </w:p>
        </w:tc>
      </w:tr>
      <w:tr w:rsidR="006D1BD3" w:rsidTr="00026737">
        <w:trPr>
          <w:trHeight w:val="498"/>
        </w:trPr>
        <w:tc>
          <w:tcPr>
            <w:tcW w:w="661"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3.8.2</w:t>
            </w:r>
          </w:p>
        </w:tc>
        <w:tc>
          <w:tcPr>
            <w:tcW w:w="2878"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Service Communications</w:t>
            </w:r>
          </w:p>
        </w:tc>
        <w:tc>
          <w:tcPr>
            <w:tcW w:w="11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0.830</w:t>
            </w:r>
          </w:p>
        </w:tc>
        <w:tc>
          <w:tcPr>
            <w:tcW w:w="976"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0.642</w:t>
            </w:r>
          </w:p>
        </w:tc>
        <w:tc>
          <w:tcPr>
            <w:tcW w:w="1050"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-0.188</w:t>
            </w:r>
          </w:p>
        </w:tc>
        <w:tc>
          <w:tcPr>
            <w:tcW w:w="107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-0.143</w:t>
            </w:r>
          </w:p>
        </w:tc>
        <w:tc>
          <w:tcPr>
            <w:tcW w:w="1275"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-22.65%</w:t>
            </w:r>
          </w:p>
        </w:tc>
      </w:tr>
      <w:tr w:rsidR="006D1BD3" w:rsidTr="00026737">
        <w:trPr>
          <w:trHeight w:val="498"/>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3.8.3</w:t>
            </w:r>
          </w:p>
        </w:tc>
        <w:tc>
          <w:tcPr>
            <w:tcW w:w="2878"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Large Specific Grants t</w:t>
            </w:r>
            <w:r w:rsidRPr="00F97006">
              <w:rPr>
                <w:rFonts w:eastAsia="Times New Roman" w:cs="Arial"/>
                <w:sz w:val="22"/>
                <w:szCs w:val="22"/>
                <w:lang w:eastAsia="en-GB"/>
              </w:rPr>
              <w:t xml:space="preserve">o </w:t>
            </w:r>
            <w:r>
              <w:rPr>
                <w:rFonts w:eastAsia="Times New Roman" w:cs="Arial"/>
                <w:sz w:val="22"/>
                <w:szCs w:val="22"/>
                <w:lang w:eastAsia="en-GB"/>
              </w:rPr>
              <w:t>s</w:t>
            </w:r>
            <w:r w:rsidRPr="00F97006">
              <w:rPr>
                <w:rFonts w:eastAsia="Times New Roman" w:cs="Arial"/>
                <w:sz w:val="22"/>
                <w:szCs w:val="22"/>
                <w:lang w:eastAsia="en-GB"/>
              </w:rPr>
              <w:t xml:space="preserve">upport </w:t>
            </w:r>
            <w:r>
              <w:rPr>
                <w:rFonts w:eastAsia="Times New Roman" w:cs="Arial"/>
                <w:sz w:val="22"/>
                <w:szCs w:val="22"/>
                <w:lang w:eastAsia="en-GB"/>
              </w:rPr>
              <w:t>t</w:t>
            </w:r>
            <w:r w:rsidRPr="00F97006">
              <w:rPr>
                <w:rFonts w:eastAsia="Times New Roman" w:cs="Arial"/>
                <w:sz w:val="22"/>
                <w:szCs w:val="22"/>
                <w:lang w:eastAsia="en-GB"/>
              </w:rPr>
              <w:t>he Authority</w:t>
            </w:r>
          </w:p>
        </w:tc>
        <w:tc>
          <w:tcPr>
            <w:tcW w:w="115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-7.784</w:t>
            </w:r>
          </w:p>
        </w:tc>
        <w:tc>
          <w:tcPr>
            <w:tcW w:w="9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-8.045</w:t>
            </w:r>
          </w:p>
        </w:tc>
        <w:tc>
          <w:tcPr>
            <w:tcW w:w="105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-0.261</w:t>
            </w:r>
          </w:p>
        </w:tc>
        <w:tc>
          <w:tcPr>
            <w:tcW w:w="107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-0.201</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3.35%</w:t>
            </w:r>
          </w:p>
        </w:tc>
      </w:tr>
      <w:tr w:rsidR="006D1BD3" w:rsidTr="00026737">
        <w:trPr>
          <w:trHeight w:val="498"/>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center"/>
              <w:rPr>
                <w:rFonts w:eastAsia="Times New Roman" w:cs="Arial"/>
                <w:b/>
                <w:bCs/>
                <w:color w:val="auto"/>
                <w:sz w:val="22"/>
                <w:szCs w:val="22"/>
                <w:lang w:eastAsia="en-GB"/>
              </w:rPr>
            </w:pPr>
            <w:r w:rsidRPr="00F97006">
              <w:rPr>
                <w:rFonts w:eastAsia="Times New Roman" w:cs="Arial"/>
                <w:b/>
                <w:bCs/>
                <w:color w:val="auto"/>
                <w:sz w:val="22"/>
                <w:szCs w:val="22"/>
                <w:lang w:eastAsia="en-GB"/>
              </w:rPr>
              <w:t>3.8.4</w:t>
            </w:r>
          </w:p>
        </w:tc>
        <w:tc>
          <w:tcPr>
            <w:tcW w:w="2878"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sz w:val="22"/>
                <w:szCs w:val="22"/>
                <w:lang w:eastAsia="en-GB"/>
              </w:rPr>
            </w:pPr>
            <w:r w:rsidRPr="00F97006">
              <w:rPr>
                <w:rFonts w:eastAsia="Times New Roman" w:cs="Arial"/>
                <w:sz w:val="22"/>
                <w:szCs w:val="22"/>
                <w:lang w:eastAsia="en-GB"/>
              </w:rPr>
              <w:t>Non Service Issues Corporate Budgets</w:t>
            </w:r>
          </w:p>
        </w:tc>
        <w:tc>
          <w:tcPr>
            <w:tcW w:w="115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20.394</w:t>
            </w:r>
          </w:p>
        </w:tc>
        <w:tc>
          <w:tcPr>
            <w:tcW w:w="976"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7.832</w:t>
            </w:r>
          </w:p>
        </w:tc>
        <w:tc>
          <w:tcPr>
            <w:tcW w:w="1050"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-12.560</w:t>
            </w:r>
          </w:p>
        </w:tc>
        <w:tc>
          <w:tcPr>
            <w:tcW w:w="1077" w:type="dxa"/>
            <w:tcBorders>
              <w:top w:val="nil"/>
              <w:left w:val="nil"/>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sidRPr="00F97006">
              <w:rPr>
                <w:rFonts w:eastAsia="Times New Roman" w:cs="Arial"/>
                <w:sz w:val="22"/>
                <w:szCs w:val="22"/>
                <w:lang w:eastAsia="en-GB"/>
              </w:rPr>
              <w:t>-7.</w:t>
            </w:r>
            <w:r>
              <w:rPr>
                <w:rFonts w:eastAsia="Times New Roman" w:cs="Arial"/>
                <w:sz w:val="22"/>
                <w:szCs w:val="22"/>
                <w:lang w:eastAsia="en-GB"/>
              </w:rPr>
              <w:t>14</w:t>
            </w:r>
            <w:r w:rsidRPr="00F97006">
              <w:rPr>
                <w:rFonts w:eastAsia="Times New Roman" w:cs="Arial"/>
                <w:sz w:val="22"/>
                <w:szCs w:val="22"/>
                <w:lang w:eastAsia="en-GB"/>
              </w:rPr>
              <w:t>5</w:t>
            </w:r>
          </w:p>
        </w:tc>
        <w:tc>
          <w:tcPr>
            <w:tcW w:w="1275" w:type="dxa"/>
            <w:tcBorders>
              <w:top w:val="nil"/>
              <w:left w:val="nil"/>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-61.59</w:t>
            </w:r>
            <w:r w:rsidRPr="00F97006">
              <w:rPr>
                <w:rFonts w:eastAsia="Times New Roman" w:cs="Arial"/>
                <w:sz w:val="22"/>
                <w:szCs w:val="22"/>
                <w:lang w:eastAsia="en-GB"/>
              </w:rPr>
              <w:t>%</w:t>
            </w:r>
          </w:p>
        </w:tc>
      </w:tr>
      <w:tr w:rsidR="006D1BD3" w:rsidTr="00026737">
        <w:trPr>
          <w:trHeight w:val="498"/>
        </w:trPr>
        <w:tc>
          <w:tcPr>
            <w:tcW w:w="661"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A953D6" w:rsidP="00026737">
            <w:pPr>
              <w:autoSpaceDE/>
              <w:autoSpaceDN/>
              <w:adjustRightInd/>
              <w:spacing w:after="0"/>
              <w:jc w:val="right"/>
              <w:rPr>
                <w:rFonts w:eastAsia="Times New Roman" w:cs="Arial"/>
                <w:b/>
                <w:bCs/>
                <w:sz w:val="22"/>
                <w:szCs w:val="22"/>
                <w:lang w:eastAsia="en-GB"/>
              </w:rPr>
            </w:pPr>
          </w:p>
        </w:tc>
        <w:tc>
          <w:tcPr>
            <w:tcW w:w="2878"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 - Chief Executive</w:t>
            </w:r>
          </w:p>
        </w:tc>
        <w:tc>
          <w:tcPr>
            <w:tcW w:w="11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13.214</w:t>
            </w:r>
          </w:p>
        </w:tc>
        <w:tc>
          <w:tcPr>
            <w:tcW w:w="976"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0.226</w:t>
            </w:r>
          </w:p>
        </w:tc>
        <w:tc>
          <w:tcPr>
            <w:tcW w:w="1050"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-12.988</w:t>
            </w:r>
          </w:p>
        </w:tc>
        <w:tc>
          <w:tcPr>
            <w:tcW w:w="1077"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-7.414</w:t>
            </w:r>
          </w:p>
        </w:tc>
        <w:tc>
          <w:tcPr>
            <w:tcW w:w="1275"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sidRPr="00F97006">
              <w:rPr>
                <w:rFonts w:eastAsia="Times New Roman" w:cs="Arial"/>
                <w:b/>
                <w:bCs/>
                <w:sz w:val="22"/>
                <w:szCs w:val="22"/>
                <w:lang w:eastAsia="en-GB"/>
              </w:rPr>
              <w:t>-98.29%</w:t>
            </w:r>
          </w:p>
        </w:tc>
      </w:tr>
    </w:tbl>
    <w:p w:rsidR="00026737" w:rsidRDefault="00A953D6" w:rsidP="00026737">
      <w:pPr>
        <w:autoSpaceDE/>
        <w:autoSpaceDN/>
        <w:adjustRightInd/>
        <w:spacing w:after="0"/>
        <w:rPr>
          <w:rFonts w:cs="Arial"/>
        </w:rPr>
      </w:pPr>
    </w:p>
    <w:p w:rsidR="00026737" w:rsidRDefault="008A011B" w:rsidP="00026737">
      <w:pPr>
        <w:spacing w:after="0"/>
        <w:rPr>
          <w:rFonts w:cs="Arial"/>
        </w:rPr>
      </w:pPr>
      <w:r>
        <w:rPr>
          <w:rFonts w:cs="Arial"/>
        </w:rPr>
        <w:t xml:space="preserve">Chief Executive Services have underspent </w:t>
      </w:r>
      <w:r w:rsidRPr="00CD40A7">
        <w:rPr>
          <w:rFonts w:cs="Arial"/>
        </w:rPr>
        <w:t>by £</w:t>
      </w:r>
      <w:r>
        <w:rPr>
          <w:rFonts w:cs="Arial"/>
        </w:rPr>
        <w:t>12.988</w:t>
      </w:r>
      <w:r w:rsidRPr="00CD40A7">
        <w:rPr>
          <w:rFonts w:cs="Arial"/>
        </w:rPr>
        <w:t xml:space="preserve">m. The </w:t>
      </w:r>
      <w:r>
        <w:rPr>
          <w:rFonts w:cs="Arial"/>
        </w:rPr>
        <w:t xml:space="preserve">underspend </w:t>
      </w:r>
      <w:r w:rsidRPr="00CD40A7">
        <w:rPr>
          <w:rFonts w:cs="Arial"/>
        </w:rPr>
        <w:t xml:space="preserve">has </w:t>
      </w:r>
      <w:r>
        <w:rPr>
          <w:rFonts w:cs="Arial"/>
        </w:rPr>
        <w:t>increased by £5.574</w:t>
      </w:r>
      <w:r w:rsidRPr="00CD40A7">
        <w:rPr>
          <w:rFonts w:cs="Arial"/>
        </w:rPr>
        <w:t xml:space="preserve">m compared </w:t>
      </w:r>
      <w:r>
        <w:rPr>
          <w:rFonts w:cs="Arial"/>
        </w:rPr>
        <w:t xml:space="preserve">to Quarter 3 Cabinet monitoring as a result of an improved Treasury Management positon reflecting positive investment activity over the quarter.  </w:t>
      </w:r>
    </w:p>
    <w:p w:rsidR="00026737" w:rsidRDefault="00A953D6" w:rsidP="00026737">
      <w:pPr>
        <w:spacing w:after="0"/>
        <w:rPr>
          <w:rFonts w:cs="Arial"/>
        </w:rPr>
      </w:pPr>
    </w:p>
    <w:p w:rsidR="00026737" w:rsidRDefault="008A011B" w:rsidP="00026737">
      <w:pPr>
        <w:spacing w:after="0"/>
        <w:rPr>
          <w:rFonts w:cs="Arial"/>
        </w:rPr>
      </w:pPr>
      <w:r w:rsidRPr="00786A2C">
        <w:rPr>
          <w:rFonts w:cs="Arial"/>
          <w:b/>
          <w:i/>
        </w:rPr>
        <w:t>3.8.4 Non Service Issues Corporate Budgets</w:t>
      </w:r>
      <w:r>
        <w:rPr>
          <w:rFonts w:cs="Arial"/>
        </w:rPr>
        <w:t xml:space="preserve"> underspent by £12.560m. A significant part of this related to the Treasury Management</w:t>
      </w:r>
      <w:r w:rsidRPr="00EC7006">
        <w:rPr>
          <w:rFonts w:cs="Arial"/>
        </w:rPr>
        <w:t xml:space="preserve"> budget</w:t>
      </w:r>
      <w:r>
        <w:rPr>
          <w:rFonts w:cs="Arial"/>
        </w:rPr>
        <w:t xml:space="preserve"> which</w:t>
      </w:r>
      <w:r w:rsidRPr="00EC7006">
        <w:rPr>
          <w:rFonts w:cs="Arial"/>
        </w:rPr>
        <w:t xml:space="preserve"> shows a net underspend of £8.858m with the income received in the year being £8.064m higher than initially anticipated</w:t>
      </w:r>
      <w:r>
        <w:rPr>
          <w:rFonts w:cs="Arial"/>
        </w:rPr>
        <w:t xml:space="preserve"> within the budget</w:t>
      </w:r>
      <w:r w:rsidRPr="00EC7006">
        <w:rPr>
          <w:rFonts w:cs="Arial"/>
        </w:rPr>
        <w:t>. This was principally due to the gains made on the sale of bonds of £6.6m. The ability to make these gains arose as the markets saw some volatility in the year as a result of changing economic and political circumstances.</w:t>
      </w:r>
      <w:r>
        <w:rPr>
          <w:rFonts w:cs="Arial"/>
        </w:rPr>
        <w:t xml:space="preserve">  The movements in the market and the level of volatility are difficult to predict and therefore no provision for surplus on sale of assets was included in the budget. Other income received varied due to changes in the level of balances invested and interest rates received. Similarly, interest paid was £0.748m lower than anticipated with lower than anticipated borrowing and interest rates paid, due primarily to slippage within the capital delivery programme for 2017/18. </w:t>
      </w:r>
    </w:p>
    <w:p w:rsidR="00026737" w:rsidRDefault="00A953D6" w:rsidP="00026737">
      <w:pPr>
        <w:spacing w:after="0"/>
        <w:rPr>
          <w:rFonts w:cs="Arial"/>
        </w:rPr>
      </w:pPr>
    </w:p>
    <w:p w:rsidR="00026737" w:rsidRDefault="008A011B" w:rsidP="00026737">
      <w:pPr>
        <w:spacing w:after="0"/>
        <w:rPr>
          <w:rFonts w:cs="Arial"/>
        </w:rPr>
      </w:pPr>
      <w:r>
        <w:rPr>
          <w:rFonts w:cs="Arial"/>
        </w:rPr>
        <w:t>The table below shows the variations in more detail:</w:t>
      </w:r>
    </w:p>
    <w:p w:rsidR="00026737" w:rsidRDefault="00A953D6" w:rsidP="00026737">
      <w:pPr>
        <w:spacing w:after="0"/>
        <w:rPr>
          <w:rFonts w:cs="Arial"/>
        </w:rPr>
      </w:pPr>
    </w:p>
    <w:tbl>
      <w:tblPr>
        <w:tblW w:w="9067" w:type="dxa"/>
        <w:tblLook w:val="04A0" w:firstRow="1" w:lastRow="0" w:firstColumn="1" w:lastColumn="0" w:noHBand="0" w:noVBand="1"/>
      </w:tblPr>
      <w:tblGrid>
        <w:gridCol w:w="3964"/>
        <w:gridCol w:w="1701"/>
        <w:gridCol w:w="1701"/>
        <w:gridCol w:w="1701"/>
      </w:tblGrid>
      <w:tr w:rsidR="006D1BD3" w:rsidTr="00026737">
        <w:trPr>
          <w:trHeight w:val="681"/>
        </w:trPr>
        <w:tc>
          <w:tcPr>
            <w:tcW w:w="3964"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A953D6" w:rsidP="00026737">
            <w:pPr>
              <w:autoSpaceDE/>
              <w:autoSpaceDN/>
              <w:adjustRightInd/>
              <w:spacing w:after="0"/>
              <w:jc w:val="center"/>
              <w:rPr>
                <w:rFonts w:eastAsia="Times New Roman" w:cs="Arial"/>
                <w:b/>
                <w:bCs/>
                <w:sz w:val="22"/>
                <w:szCs w:val="22"/>
                <w:lang w:eastAsia="en-GB"/>
              </w:rPr>
            </w:pPr>
          </w:p>
        </w:tc>
        <w:tc>
          <w:tcPr>
            <w:tcW w:w="170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Approved Budget</w:t>
            </w:r>
          </w:p>
        </w:tc>
        <w:tc>
          <w:tcPr>
            <w:tcW w:w="170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w:t>
            </w:r>
          </w:p>
        </w:tc>
        <w:tc>
          <w:tcPr>
            <w:tcW w:w="170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Outturn Variance</w:t>
            </w:r>
          </w:p>
        </w:tc>
      </w:tr>
      <w:tr w:rsidR="006D1BD3" w:rsidTr="00026737">
        <w:trPr>
          <w:trHeight w:val="283"/>
        </w:trPr>
        <w:tc>
          <w:tcPr>
            <w:tcW w:w="3964"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70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r>
      <w:tr w:rsidR="006D1BD3" w:rsidTr="00026737">
        <w:trPr>
          <w:trHeight w:val="498"/>
        </w:trPr>
        <w:tc>
          <w:tcPr>
            <w:tcW w:w="3964" w:type="dxa"/>
            <w:tcBorders>
              <w:top w:val="nil"/>
              <w:left w:val="single" w:sz="4" w:space="0" w:color="auto"/>
              <w:bottom w:val="single" w:sz="4" w:space="0" w:color="auto"/>
              <w:right w:val="single" w:sz="4" w:space="0" w:color="auto"/>
            </w:tcBorders>
            <w:shd w:val="clear" w:color="000000" w:fill="FFFFFF"/>
            <w:vAlign w:val="center"/>
          </w:tcPr>
          <w:p w:rsidR="00026737" w:rsidRPr="00EC7006" w:rsidRDefault="008A011B" w:rsidP="00026737">
            <w:pPr>
              <w:autoSpaceDE/>
              <w:autoSpaceDN/>
              <w:adjustRightInd/>
              <w:spacing w:after="0"/>
              <w:jc w:val="left"/>
              <w:rPr>
                <w:rFonts w:eastAsia="Times New Roman" w:cs="Arial"/>
                <w:bCs/>
                <w:color w:val="auto"/>
                <w:sz w:val="22"/>
                <w:szCs w:val="22"/>
                <w:lang w:eastAsia="en-GB"/>
              </w:rPr>
            </w:pPr>
            <w:r>
              <w:rPr>
                <w:rFonts w:eastAsia="Times New Roman" w:cs="Arial"/>
                <w:bCs/>
                <w:color w:val="auto"/>
                <w:sz w:val="22"/>
                <w:szCs w:val="22"/>
                <w:lang w:eastAsia="en-GB"/>
              </w:rPr>
              <w:t>Minimum Revenue Provision (MRP)</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21.383</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21.337</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-0.046</w:t>
            </w:r>
          </w:p>
        </w:tc>
      </w:tr>
      <w:tr w:rsidR="006D1BD3" w:rsidTr="00026737">
        <w:trPr>
          <w:trHeight w:val="498"/>
        </w:trPr>
        <w:tc>
          <w:tcPr>
            <w:tcW w:w="3964" w:type="dxa"/>
            <w:tcBorders>
              <w:top w:val="nil"/>
              <w:left w:val="single" w:sz="4" w:space="0" w:color="auto"/>
              <w:bottom w:val="single" w:sz="4" w:space="0" w:color="auto"/>
              <w:right w:val="single" w:sz="4" w:space="0" w:color="auto"/>
            </w:tcBorders>
            <w:shd w:val="clear" w:color="000000" w:fill="FFFFFF"/>
            <w:vAlign w:val="center"/>
          </w:tcPr>
          <w:p w:rsidR="00026737" w:rsidRPr="00EC7006" w:rsidRDefault="008A011B" w:rsidP="00026737">
            <w:pPr>
              <w:autoSpaceDE/>
              <w:autoSpaceDN/>
              <w:adjustRightInd/>
              <w:spacing w:after="0"/>
              <w:jc w:val="left"/>
              <w:rPr>
                <w:rFonts w:eastAsia="Times New Roman" w:cs="Arial"/>
                <w:bCs/>
                <w:color w:val="auto"/>
                <w:sz w:val="22"/>
                <w:szCs w:val="22"/>
                <w:lang w:eastAsia="en-GB"/>
              </w:rPr>
            </w:pPr>
            <w:r w:rsidRPr="00EC7006">
              <w:rPr>
                <w:rFonts w:eastAsia="Times New Roman" w:cs="Arial"/>
                <w:bCs/>
                <w:color w:val="auto"/>
                <w:sz w:val="22"/>
                <w:szCs w:val="22"/>
                <w:lang w:eastAsia="en-GB"/>
              </w:rPr>
              <w:t xml:space="preserve">Interest Paid </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22.758</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22.010</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-0.748</w:t>
            </w:r>
          </w:p>
        </w:tc>
      </w:tr>
      <w:tr w:rsidR="006D1BD3" w:rsidTr="00026737">
        <w:trPr>
          <w:trHeight w:val="498"/>
        </w:trPr>
        <w:tc>
          <w:tcPr>
            <w:tcW w:w="3964" w:type="dxa"/>
            <w:tcBorders>
              <w:top w:val="nil"/>
              <w:left w:val="single" w:sz="4" w:space="0" w:color="auto"/>
              <w:bottom w:val="single" w:sz="4" w:space="0" w:color="auto"/>
              <w:right w:val="single" w:sz="4" w:space="0" w:color="auto"/>
            </w:tcBorders>
            <w:shd w:val="clear" w:color="auto" w:fill="auto"/>
            <w:vAlign w:val="center"/>
          </w:tcPr>
          <w:p w:rsidR="00026737" w:rsidRPr="00EC7006" w:rsidRDefault="008A011B" w:rsidP="00026737">
            <w:pPr>
              <w:autoSpaceDE/>
              <w:autoSpaceDN/>
              <w:adjustRightInd/>
              <w:spacing w:after="0"/>
              <w:jc w:val="left"/>
              <w:rPr>
                <w:rFonts w:eastAsia="Times New Roman" w:cs="Arial"/>
                <w:bCs/>
                <w:color w:val="auto"/>
                <w:sz w:val="22"/>
                <w:szCs w:val="22"/>
                <w:lang w:eastAsia="en-GB"/>
              </w:rPr>
            </w:pPr>
            <w:r w:rsidRPr="00EC7006">
              <w:rPr>
                <w:rFonts w:eastAsia="Times New Roman" w:cs="Arial"/>
                <w:bCs/>
                <w:color w:val="auto"/>
                <w:sz w:val="22"/>
                <w:szCs w:val="22"/>
                <w:lang w:eastAsia="en-GB"/>
              </w:rPr>
              <w:t>Interest Received/Surplus on Sale</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-7.183</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-15.247</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-8.064</w:t>
            </w:r>
          </w:p>
        </w:tc>
      </w:tr>
      <w:tr w:rsidR="006D1BD3" w:rsidTr="00026737">
        <w:trPr>
          <w:trHeight w:val="498"/>
        </w:trPr>
        <w:tc>
          <w:tcPr>
            <w:tcW w:w="3964" w:type="dxa"/>
            <w:tcBorders>
              <w:top w:val="nil"/>
              <w:left w:val="single" w:sz="4" w:space="0" w:color="auto"/>
              <w:bottom w:val="single" w:sz="4" w:space="0" w:color="auto"/>
              <w:right w:val="single" w:sz="4" w:space="0" w:color="auto"/>
            </w:tcBorders>
            <w:shd w:val="clear" w:color="auto" w:fill="auto"/>
            <w:vAlign w:val="center"/>
          </w:tcPr>
          <w:p w:rsidR="00026737" w:rsidRPr="00EC7006" w:rsidRDefault="008A011B" w:rsidP="00026737">
            <w:pPr>
              <w:autoSpaceDE/>
              <w:autoSpaceDN/>
              <w:adjustRightInd/>
              <w:spacing w:after="0"/>
              <w:jc w:val="left"/>
              <w:rPr>
                <w:rFonts w:eastAsia="Times New Roman" w:cs="Arial"/>
                <w:bCs/>
                <w:color w:val="auto"/>
                <w:sz w:val="22"/>
                <w:szCs w:val="22"/>
                <w:lang w:eastAsia="en-GB"/>
              </w:rPr>
            </w:pPr>
            <w:r w:rsidRPr="00EC7006">
              <w:rPr>
                <w:rFonts w:eastAsia="Times New Roman" w:cs="Arial"/>
                <w:bCs/>
                <w:color w:val="auto"/>
                <w:sz w:val="22"/>
                <w:szCs w:val="22"/>
                <w:lang w:eastAsia="en-GB"/>
              </w:rPr>
              <w:t>Grants Received</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-0.240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-0.240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right"/>
              <w:rPr>
                <w:rFonts w:eastAsia="Times New Roman" w:cs="Arial"/>
                <w:sz w:val="22"/>
                <w:szCs w:val="22"/>
                <w:lang w:eastAsia="en-GB"/>
              </w:rPr>
            </w:pPr>
            <w:r>
              <w:rPr>
                <w:rFonts w:eastAsia="Times New Roman" w:cs="Arial"/>
                <w:sz w:val="22"/>
                <w:szCs w:val="22"/>
                <w:lang w:eastAsia="en-GB"/>
              </w:rPr>
              <w:t>0.000</w:t>
            </w:r>
          </w:p>
        </w:tc>
      </w:tr>
      <w:tr w:rsidR="006D1BD3" w:rsidTr="00026737">
        <w:trPr>
          <w:trHeight w:val="498"/>
        </w:trPr>
        <w:tc>
          <w:tcPr>
            <w:tcW w:w="3964"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A953D6" w:rsidP="00026737">
            <w:pPr>
              <w:autoSpaceDE/>
              <w:autoSpaceDN/>
              <w:adjustRightInd/>
              <w:spacing w:after="0"/>
              <w:jc w:val="left"/>
              <w:rPr>
                <w:rFonts w:eastAsia="Times New Roman" w:cs="Arial"/>
                <w:b/>
                <w:bCs/>
                <w:sz w:val="22"/>
                <w:szCs w:val="22"/>
                <w:lang w:eastAsia="en-GB"/>
              </w:rPr>
            </w:pPr>
          </w:p>
        </w:tc>
        <w:tc>
          <w:tcPr>
            <w:tcW w:w="170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36.718</w:t>
            </w:r>
          </w:p>
        </w:tc>
        <w:tc>
          <w:tcPr>
            <w:tcW w:w="170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27.860</w:t>
            </w:r>
          </w:p>
        </w:tc>
        <w:tc>
          <w:tcPr>
            <w:tcW w:w="170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right"/>
              <w:rPr>
                <w:rFonts w:eastAsia="Times New Roman" w:cs="Arial"/>
                <w:b/>
                <w:bCs/>
                <w:sz w:val="22"/>
                <w:szCs w:val="22"/>
                <w:lang w:eastAsia="en-GB"/>
              </w:rPr>
            </w:pPr>
            <w:r>
              <w:rPr>
                <w:rFonts w:eastAsia="Times New Roman" w:cs="Arial"/>
                <w:b/>
                <w:bCs/>
                <w:sz w:val="22"/>
                <w:szCs w:val="22"/>
                <w:lang w:eastAsia="en-GB"/>
              </w:rPr>
              <w:t>-8.858</w:t>
            </w:r>
          </w:p>
        </w:tc>
      </w:tr>
    </w:tbl>
    <w:p w:rsidR="00026737" w:rsidRPr="000F6DF0" w:rsidRDefault="00A953D6" w:rsidP="00026737">
      <w:pPr>
        <w:spacing w:after="0"/>
        <w:rPr>
          <w:rFonts w:cs="Arial"/>
          <w:b/>
          <w:bCs/>
          <w:highlight w:val="yellow"/>
        </w:rPr>
      </w:pPr>
    </w:p>
    <w:p w:rsidR="00026737" w:rsidRDefault="008A011B" w:rsidP="00026737">
      <w:pPr>
        <w:spacing w:after="0"/>
        <w:rPr>
          <w:rFonts w:cs="Arial"/>
        </w:rPr>
      </w:pPr>
      <w:r>
        <w:rPr>
          <w:rFonts w:cs="Arial"/>
        </w:rPr>
        <w:lastRenderedPageBreak/>
        <w:t xml:space="preserve">The remaining underspend on non-service issues corporate budgets of £4.130m relates </w:t>
      </w:r>
      <w:r w:rsidR="00C27ADC">
        <w:rPr>
          <w:rFonts w:cs="Arial"/>
        </w:rPr>
        <w:t xml:space="preserve">to </w:t>
      </w:r>
      <w:r>
        <w:rPr>
          <w:rFonts w:cs="Arial"/>
        </w:rPr>
        <w:t>a combination of underspends on advanced payment of pension contributions, strategic budget and inherited pension liabilities.</w:t>
      </w:r>
    </w:p>
    <w:p w:rsidR="00026737" w:rsidRDefault="00A953D6" w:rsidP="00026737">
      <w:pPr>
        <w:spacing w:after="0"/>
        <w:rPr>
          <w:rFonts w:cs="Arial"/>
        </w:rPr>
      </w:pPr>
    </w:p>
    <w:p w:rsidR="00026737" w:rsidRPr="00875C35" w:rsidRDefault="008A011B" w:rsidP="00026737">
      <w:pPr>
        <w:spacing w:after="0"/>
        <w:rPr>
          <w:b/>
        </w:rPr>
      </w:pPr>
      <w:r w:rsidRPr="00875C35">
        <w:rPr>
          <w:b/>
        </w:rPr>
        <w:t>3.9</w:t>
      </w:r>
      <w:r w:rsidRPr="00875C35">
        <w:rPr>
          <w:b/>
        </w:rPr>
        <w:tab/>
        <w:t>Areas outside Cash-Limit Revenue Budgets</w:t>
      </w:r>
    </w:p>
    <w:p w:rsidR="00026737" w:rsidRPr="00875C35" w:rsidRDefault="00A953D6" w:rsidP="00026737">
      <w:pPr>
        <w:tabs>
          <w:tab w:val="left" w:pos="851"/>
          <w:tab w:val="left" w:pos="1418"/>
        </w:tabs>
        <w:spacing w:after="0"/>
        <w:rPr>
          <w:b/>
        </w:rPr>
      </w:pPr>
    </w:p>
    <w:p w:rsidR="00026737" w:rsidRPr="00005504" w:rsidRDefault="008A011B" w:rsidP="00026737">
      <w:pPr>
        <w:tabs>
          <w:tab w:val="left" w:pos="851"/>
        </w:tabs>
        <w:spacing w:after="0"/>
        <w:jc w:val="left"/>
        <w:rPr>
          <w:rFonts w:eastAsia="Cambria" w:cs="Arial"/>
          <w:lang w:eastAsia="en-GB"/>
        </w:rPr>
      </w:pPr>
      <w:r>
        <w:rPr>
          <w:rFonts w:eastAsia="Cambria" w:cs="Arial"/>
          <w:b/>
          <w:bCs/>
          <w:lang w:eastAsia="en-GB"/>
        </w:rPr>
        <w:t>3.9.1</w:t>
      </w:r>
      <w:r>
        <w:rPr>
          <w:rFonts w:eastAsia="Cambria" w:cs="Arial"/>
          <w:b/>
          <w:bCs/>
          <w:lang w:eastAsia="en-GB"/>
        </w:rPr>
        <w:tab/>
      </w:r>
      <w:r w:rsidRPr="00005504">
        <w:rPr>
          <w:rFonts w:eastAsia="Cambria" w:cs="Arial"/>
          <w:b/>
          <w:bCs/>
          <w:lang w:eastAsia="en-GB"/>
        </w:rPr>
        <w:t xml:space="preserve">Additional One-Off Income </w:t>
      </w:r>
    </w:p>
    <w:p w:rsidR="00026737" w:rsidRPr="00005504" w:rsidRDefault="00A953D6" w:rsidP="00026737">
      <w:pPr>
        <w:spacing w:after="0"/>
        <w:jc w:val="left"/>
        <w:rPr>
          <w:rFonts w:eastAsia="Cambria" w:cs="Arial"/>
          <w:lang w:eastAsia="en-GB"/>
        </w:rPr>
      </w:pPr>
    </w:p>
    <w:p w:rsidR="00026737" w:rsidRDefault="008A011B" w:rsidP="00026737">
      <w:pPr>
        <w:spacing w:after="0"/>
        <w:rPr>
          <w:rFonts w:cs="Arial"/>
          <w:lang w:eastAsia="en-GB"/>
        </w:rPr>
      </w:pPr>
      <w:r w:rsidRPr="00E04977">
        <w:rPr>
          <w:rFonts w:cs="Arial"/>
          <w:lang w:eastAsia="en-GB"/>
        </w:rPr>
        <w:t>During the year additional net income of £15.402m was received</w:t>
      </w:r>
      <w:r w:rsidRPr="00005504">
        <w:rPr>
          <w:rFonts w:cs="Arial"/>
          <w:lang w:eastAsia="en-GB"/>
        </w:rPr>
        <w:t xml:space="preserve"> from Central Government, council tax and business rates payments. This consists of:</w:t>
      </w:r>
    </w:p>
    <w:p w:rsidR="00026737" w:rsidRPr="00005504" w:rsidRDefault="00A953D6" w:rsidP="00026737">
      <w:pPr>
        <w:spacing w:after="0"/>
        <w:rPr>
          <w:rFonts w:eastAsiaTheme="minorHAnsi" w:cs="Arial"/>
          <w:color w:val="auto"/>
          <w:lang w:eastAsia="en-GB"/>
        </w:rPr>
      </w:pPr>
    </w:p>
    <w:p w:rsidR="00026737" w:rsidRPr="00005504" w:rsidRDefault="008A011B" w:rsidP="00026737">
      <w:pPr>
        <w:pStyle w:val="ListParagraph"/>
        <w:numPr>
          <w:ilvl w:val="0"/>
          <w:numId w:val="31"/>
        </w:numPr>
        <w:autoSpaceDE/>
        <w:adjustRightInd/>
        <w:spacing w:after="0"/>
        <w:jc w:val="left"/>
        <w:rPr>
          <w:lang w:eastAsia="en-GB"/>
        </w:rPr>
      </w:pPr>
      <w:r w:rsidRPr="00005504">
        <w:rPr>
          <w:lang w:eastAsia="en-GB"/>
        </w:rPr>
        <w:t>£7.732m additional Council Tax Collection Fund surplus 2016/17</w:t>
      </w:r>
    </w:p>
    <w:p w:rsidR="00026737" w:rsidRPr="00FA1D8A" w:rsidRDefault="00A953D6" w:rsidP="00B442FF">
      <w:pPr>
        <w:spacing w:after="0"/>
        <w:rPr>
          <w:lang w:eastAsia="en-GB"/>
        </w:rPr>
      </w:pPr>
    </w:p>
    <w:p w:rsidR="00026737" w:rsidRPr="00FA1D8A" w:rsidRDefault="008A011B" w:rsidP="00026737">
      <w:pPr>
        <w:pStyle w:val="ListParagraph"/>
        <w:numPr>
          <w:ilvl w:val="0"/>
          <w:numId w:val="33"/>
        </w:numPr>
        <w:autoSpaceDE/>
        <w:adjustRightInd/>
        <w:spacing w:after="0"/>
        <w:jc w:val="left"/>
        <w:rPr>
          <w:rFonts w:eastAsiaTheme="minorHAnsi" w:cs="Arial"/>
          <w:lang w:eastAsia="en-GB"/>
        </w:rPr>
      </w:pPr>
      <w:r w:rsidRPr="00FA1D8A">
        <w:rPr>
          <w:lang w:eastAsia="en-GB"/>
        </w:rPr>
        <w:t>£0.940m additional Business Rates Income</w:t>
      </w:r>
    </w:p>
    <w:p w:rsidR="00026737" w:rsidRPr="00FA1D8A" w:rsidRDefault="00A953D6" w:rsidP="00026737">
      <w:pPr>
        <w:spacing w:after="0"/>
        <w:rPr>
          <w:lang w:eastAsia="en-GB"/>
        </w:rPr>
      </w:pPr>
    </w:p>
    <w:p w:rsidR="00026737" w:rsidRPr="00FA1D8A" w:rsidRDefault="008A011B" w:rsidP="00026737">
      <w:pPr>
        <w:pStyle w:val="ListParagraph"/>
        <w:numPr>
          <w:ilvl w:val="0"/>
          <w:numId w:val="33"/>
        </w:numPr>
        <w:autoSpaceDE/>
        <w:adjustRightInd/>
        <w:spacing w:after="0"/>
        <w:jc w:val="left"/>
        <w:rPr>
          <w:lang w:eastAsia="en-GB"/>
        </w:rPr>
      </w:pPr>
      <w:r w:rsidRPr="00FA1D8A">
        <w:rPr>
          <w:lang w:eastAsia="en-GB"/>
        </w:rPr>
        <w:t>£0.083m Further Grant Income (New Homes Bonus and Lead Local Flood Authority Grant)</w:t>
      </w:r>
    </w:p>
    <w:p w:rsidR="00026737" w:rsidRPr="00FA1D8A" w:rsidRDefault="00A953D6" w:rsidP="00026737">
      <w:pPr>
        <w:pStyle w:val="ListParagraph"/>
        <w:rPr>
          <w:lang w:eastAsia="en-GB"/>
        </w:rPr>
      </w:pPr>
    </w:p>
    <w:p w:rsidR="00026737" w:rsidRDefault="008A011B" w:rsidP="00B442FF">
      <w:pPr>
        <w:pStyle w:val="ListParagraph"/>
        <w:numPr>
          <w:ilvl w:val="0"/>
          <w:numId w:val="33"/>
        </w:numPr>
        <w:autoSpaceDE/>
        <w:adjustRightInd/>
        <w:spacing w:after="0"/>
        <w:jc w:val="left"/>
        <w:rPr>
          <w:lang w:eastAsia="en-GB"/>
        </w:rPr>
      </w:pPr>
      <w:r w:rsidRPr="00FA1D8A">
        <w:rPr>
          <w:lang w:eastAsia="en-GB"/>
        </w:rPr>
        <w:t>£0.513m 2016/17 Business Rates Pooled Fund Surplus</w:t>
      </w:r>
    </w:p>
    <w:p w:rsidR="00B442FF" w:rsidRDefault="00A953D6" w:rsidP="00B442FF">
      <w:pPr>
        <w:autoSpaceDE/>
        <w:adjustRightInd/>
        <w:spacing w:after="0"/>
        <w:jc w:val="left"/>
        <w:rPr>
          <w:lang w:eastAsia="en-GB"/>
        </w:rPr>
      </w:pPr>
    </w:p>
    <w:p w:rsidR="00026737" w:rsidRDefault="008A011B" w:rsidP="00026737">
      <w:pPr>
        <w:pStyle w:val="ListParagraph"/>
        <w:numPr>
          <w:ilvl w:val="0"/>
          <w:numId w:val="33"/>
        </w:numPr>
        <w:autoSpaceDE/>
        <w:adjustRightInd/>
        <w:spacing w:after="0"/>
        <w:jc w:val="left"/>
        <w:rPr>
          <w:lang w:eastAsia="en-GB"/>
        </w:rPr>
      </w:pPr>
      <w:r>
        <w:rPr>
          <w:lang w:eastAsia="en-GB"/>
        </w:rPr>
        <w:t>£0.958m Lancashire Workforce Development Partnership</w:t>
      </w:r>
    </w:p>
    <w:p w:rsidR="00026737" w:rsidRDefault="00A953D6" w:rsidP="00026737">
      <w:pPr>
        <w:pStyle w:val="ListParagraph"/>
        <w:rPr>
          <w:lang w:eastAsia="en-GB"/>
        </w:rPr>
      </w:pPr>
    </w:p>
    <w:p w:rsidR="00026737" w:rsidRDefault="008A011B" w:rsidP="00026737">
      <w:pPr>
        <w:pStyle w:val="ListParagraph"/>
        <w:numPr>
          <w:ilvl w:val="0"/>
          <w:numId w:val="33"/>
        </w:numPr>
        <w:autoSpaceDE/>
        <w:adjustRightInd/>
        <w:spacing w:after="0"/>
        <w:jc w:val="left"/>
        <w:rPr>
          <w:lang w:eastAsia="en-GB"/>
        </w:rPr>
      </w:pPr>
      <w:r>
        <w:rPr>
          <w:lang w:eastAsia="en-GB"/>
        </w:rPr>
        <w:t>£0.841m Kiddivouchers Corporate National Insurance Saving</w:t>
      </w:r>
    </w:p>
    <w:p w:rsidR="00026737" w:rsidRDefault="00A953D6" w:rsidP="00026737">
      <w:pPr>
        <w:pStyle w:val="ListParagraph"/>
        <w:rPr>
          <w:lang w:eastAsia="en-GB"/>
        </w:rPr>
      </w:pPr>
    </w:p>
    <w:p w:rsidR="00026737" w:rsidRPr="00005504" w:rsidRDefault="008A011B" w:rsidP="00026737">
      <w:pPr>
        <w:pStyle w:val="ListParagraph"/>
        <w:numPr>
          <w:ilvl w:val="0"/>
          <w:numId w:val="33"/>
        </w:numPr>
        <w:autoSpaceDE/>
        <w:adjustRightInd/>
        <w:spacing w:after="0"/>
        <w:jc w:val="left"/>
        <w:rPr>
          <w:lang w:eastAsia="en-GB"/>
        </w:rPr>
      </w:pPr>
      <w:r>
        <w:rPr>
          <w:lang w:eastAsia="en-GB"/>
        </w:rPr>
        <w:t>£6.563m Waste PFI Settlement</w:t>
      </w:r>
    </w:p>
    <w:p w:rsidR="00026737" w:rsidRDefault="00A953D6" w:rsidP="00026737">
      <w:pPr>
        <w:spacing w:after="0"/>
        <w:rPr>
          <w:rFonts w:cs="Arial"/>
          <w:lang w:eastAsia="en-GB"/>
        </w:rPr>
      </w:pPr>
    </w:p>
    <w:p w:rsidR="00F00662" w:rsidRDefault="008A011B" w:rsidP="00026737">
      <w:pPr>
        <w:spacing w:after="0"/>
        <w:rPr>
          <w:rFonts w:cs="Arial"/>
          <w:lang w:eastAsia="en-GB"/>
        </w:rPr>
      </w:pPr>
      <w:r>
        <w:rPr>
          <w:rFonts w:cs="Arial"/>
          <w:lang w:eastAsia="en-GB"/>
        </w:rPr>
        <w:t xml:space="preserve">The above additional income was offset by deficits on capital receipts and business rates totalling £2.228m. </w:t>
      </w:r>
    </w:p>
    <w:p w:rsidR="00F00662" w:rsidRPr="00005504" w:rsidRDefault="00A953D6" w:rsidP="00026737">
      <w:pPr>
        <w:spacing w:after="0"/>
        <w:rPr>
          <w:rFonts w:cs="Arial"/>
          <w:lang w:eastAsia="en-GB"/>
        </w:rPr>
      </w:pPr>
    </w:p>
    <w:p w:rsidR="00026737" w:rsidRDefault="008A011B" w:rsidP="00026737">
      <w:pPr>
        <w:spacing w:after="0"/>
        <w:rPr>
          <w:rFonts w:cs="Arial"/>
          <w:lang w:eastAsia="en-GB"/>
        </w:rPr>
      </w:pPr>
      <w:r w:rsidRPr="00005504">
        <w:rPr>
          <w:rFonts w:cs="Arial"/>
          <w:lang w:eastAsia="en-GB"/>
        </w:rPr>
        <w:t>In line with the previous position taken by the Cabinet on one off resources, these amounts were added to the Transitional Reserve.</w:t>
      </w: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B442FF"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Default="00A953D6" w:rsidP="00026737">
      <w:pPr>
        <w:spacing w:after="0"/>
        <w:jc w:val="left"/>
        <w:rPr>
          <w:rFonts w:eastAsia="Cambria" w:cs="Arial"/>
          <w:sz w:val="23"/>
          <w:szCs w:val="23"/>
          <w:lang w:eastAsia="en-GB"/>
        </w:rPr>
      </w:pPr>
    </w:p>
    <w:p w:rsidR="00026737" w:rsidRPr="00776D3B" w:rsidRDefault="00A953D6" w:rsidP="00026737">
      <w:pPr>
        <w:spacing w:after="0"/>
        <w:jc w:val="left"/>
        <w:rPr>
          <w:rFonts w:eastAsia="Cambria" w:cs="Arial"/>
          <w:sz w:val="23"/>
          <w:szCs w:val="23"/>
          <w:lang w:eastAsia="en-GB"/>
        </w:rPr>
      </w:pPr>
    </w:p>
    <w:p w:rsidR="00026737" w:rsidRDefault="008A011B" w:rsidP="00026737">
      <w:pPr>
        <w:tabs>
          <w:tab w:val="left" w:pos="851"/>
        </w:tabs>
        <w:spacing w:after="0"/>
        <w:jc w:val="left"/>
        <w:rPr>
          <w:rFonts w:eastAsia="Cambria" w:cs="Arial"/>
          <w:b/>
          <w:bCs/>
          <w:lang w:eastAsia="en-GB"/>
        </w:rPr>
      </w:pPr>
      <w:r>
        <w:rPr>
          <w:rFonts w:eastAsia="Cambria" w:cs="Arial"/>
          <w:b/>
          <w:bCs/>
          <w:lang w:eastAsia="en-GB"/>
        </w:rPr>
        <w:lastRenderedPageBreak/>
        <w:t>3.9.2</w:t>
      </w:r>
      <w:r>
        <w:rPr>
          <w:rFonts w:eastAsia="Cambria" w:cs="Arial"/>
          <w:b/>
          <w:bCs/>
          <w:lang w:eastAsia="en-GB"/>
        </w:rPr>
        <w:tab/>
      </w:r>
      <w:r w:rsidRPr="00776D3B">
        <w:rPr>
          <w:rFonts w:eastAsia="Cambria" w:cs="Arial"/>
          <w:b/>
          <w:bCs/>
          <w:lang w:eastAsia="en-GB"/>
        </w:rPr>
        <w:t xml:space="preserve">Schools Spending </w:t>
      </w:r>
    </w:p>
    <w:p w:rsidR="00026737" w:rsidRDefault="00A953D6" w:rsidP="00026737">
      <w:pPr>
        <w:spacing w:after="0"/>
        <w:jc w:val="left"/>
        <w:rPr>
          <w:rFonts w:eastAsia="Cambria" w:cs="Arial"/>
          <w:b/>
          <w:bCs/>
          <w:lang w:eastAsia="en-GB"/>
        </w:rPr>
      </w:pPr>
    </w:p>
    <w:p w:rsidR="00026737" w:rsidRPr="001B5F6C" w:rsidRDefault="008A011B" w:rsidP="00026737">
      <w:pPr>
        <w:spacing w:after="0"/>
      </w:pPr>
      <w:bookmarkStart w:id="0" w:name="_MON_1460272142"/>
      <w:bookmarkEnd w:id="0"/>
      <w:r w:rsidRPr="001B5F6C">
        <w:t xml:space="preserve">The final outturn </w:t>
      </w:r>
      <w:r>
        <w:t xml:space="preserve">position </w:t>
      </w:r>
      <w:r w:rsidRPr="001B5F6C">
        <w:t>against schools delegated budgets at 31 March 201</w:t>
      </w:r>
      <w:r>
        <w:t>8</w:t>
      </w:r>
      <w:r w:rsidRPr="001B5F6C">
        <w:t xml:space="preserve"> is an</w:t>
      </w:r>
      <w:r>
        <w:t xml:space="preserve"> overspend </w:t>
      </w:r>
      <w:r w:rsidRPr="000165DF">
        <w:t>of £</w:t>
      </w:r>
      <w:r>
        <w:t>1.131m</w:t>
      </w:r>
      <w:r w:rsidRPr="000165DF">
        <w:t>.  T</w:t>
      </w:r>
      <w:r w:rsidRPr="001B5F6C">
        <w:t xml:space="preserve">his means that school balances have </w:t>
      </w:r>
      <w:r>
        <w:t xml:space="preserve">decreased </w:t>
      </w:r>
      <w:r w:rsidRPr="000165DF">
        <w:t>by £</w:t>
      </w:r>
      <w:r>
        <w:t>1.131m</w:t>
      </w:r>
      <w:r w:rsidRPr="000165DF">
        <w:t xml:space="preserve"> in 2017/18, to a total </w:t>
      </w:r>
      <w:r w:rsidRPr="00023F80">
        <w:t xml:space="preserve">of </w:t>
      </w:r>
      <w:r w:rsidRPr="000165DF">
        <w:t>£44.150m</w:t>
      </w:r>
      <w:r w:rsidRPr="00023F80">
        <w:t>.</w:t>
      </w:r>
      <w:r w:rsidRPr="000165DF">
        <w:t xml:space="preserve">  </w:t>
      </w:r>
      <w:r w:rsidRPr="001B5F6C">
        <w:t>The table</w:t>
      </w:r>
      <w:r>
        <w:t>s</w:t>
      </w:r>
      <w:r w:rsidRPr="001B5F6C">
        <w:t xml:space="preserve"> below show </w:t>
      </w:r>
      <w:r>
        <w:t xml:space="preserve">analysis of </w:t>
      </w:r>
      <w:r w:rsidRPr="001B5F6C">
        <w:t xml:space="preserve">school balances by phase at the end of the financial year </w:t>
      </w:r>
      <w:r>
        <w:t>2017/18.</w:t>
      </w:r>
    </w:p>
    <w:p w:rsidR="00026737" w:rsidRDefault="00A953D6" w:rsidP="00026737">
      <w:pPr>
        <w:spacing w:after="0"/>
      </w:pPr>
    </w:p>
    <w:p w:rsidR="00026737" w:rsidRDefault="008A011B" w:rsidP="00026737">
      <w:pPr>
        <w:spacing w:after="0"/>
        <w:rPr>
          <w:b/>
        </w:rPr>
      </w:pPr>
      <w:r>
        <w:rPr>
          <w:b/>
        </w:rPr>
        <w:t>2017/18</w:t>
      </w:r>
      <w:r w:rsidRPr="000C4ADB">
        <w:rPr>
          <w:b/>
        </w:rPr>
        <w:t xml:space="preserve"> School Balances - In-Year Movement</w:t>
      </w:r>
      <w:r>
        <w:rPr>
          <w:b/>
        </w:rPr>
        <w:t xml:space="preserve"> of Balances by Phase</w:t>
      </w:r>
    </w:p>
    <w:p w:rsidR="00026737" w:rsidRDefault="00A953D6" w:rsidP="00026737">
      <w:pPr>
        <w:spacing w:after="0"/>
      </w:pPr>
    </w:p>
    <w:tbl>
      <w:tblPr>
        <w:tblW w:w="9062" w:type="dxa"/>
        <w:tblLayout w:type="fixed"/>
        <w:tblLook w:val="04A0" w:firstRow="1" w:lastRow="0" w:firstColumn="1" w:lastColumn="0" w:noHBand="0" w:noVBand="1"/>
      </w:tblPr>
      <w:tblGrid>
        <w:gridCol w:w="2265"/>
        <w:gridCol w:w="2266"/>
        <w:gridCol w:w="2265"/>
        <w:gridCol w:w="2266"/>
      </w:tblGrid>
      <w:tr w:rsidR="006D1BD3" w:rsidTr="00026737">
        <w:trPr>
          <w:trHeight w:val="920"/>
        </w:trPr>
        <w:tc>
          <w:tcPr>
            <w:tcW w:w="2265" w:type="dxa"/>
            <w:tcBorders>
              <w:top w:val="single" w:sz="8" w:space="0" w:color="auto"/>
              <w:left w:val="single" w:sz="8" w:space="0" w:color="auto"/>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Phase</w:t>
            </w:r>
          </w:p>
        </w:tc>
        <w:tc>
          <w:tcPr>
            <w:tcW w:w="2266"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Balance Brought Forward as at</w:t>
            </w:r>
            <w:r w:rsidRPr="00F97006">
              <w:rPr>
                <w:rFonts w:cs="Arial"/>
                <w:b/>
                <w:bCs/>
                <w:sz w:val="22"/>
                <w:szCs w:val="22"/>
              </w:rPr>
              <w:br/>
              <w:t>1 April 2017</w:t>
            </w:r>
          </w:p>
        </w:tc>
        <w:tc>
          <w:tcPr>
            <w:tcW w:w="2265"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Less Net Expenditure 17/18</w:t>
            </w:r>
          </w:p>
        </w:tc>
        <w:tc>
          <w:tcPr>
            <w:tcW w:w="2266"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Balance Carried Forward as at</w:t>
            </w:r>
            <w:r w:rsidRPr="00F97006">
              <w:rPr>
                <w:rFonts w:cs="Arial"/>
                <w:b/>
                <w:bCs/>
                <w:sz w:val="22"/>
                <w:szCs w:val="22"/>
              </w:rPr>
              <w:br/>
              <w:t>31 March 18</w:t>
            </w:r>
          </w:p>
        </w:tc>
      </w:tr>
      <w:tr w:rsidR="006D1BD3" w:rsidTr="00026737">
        <w:trPr>
          <w:trHeight w:val="300"/>
        </w:trPr>
        <w:tc>
          <w:tcPr>
            <w:tcW w:w="2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 </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026737" w:rsidRPr="00F97006" w:rsidRDefault="008A011B" w:rsidP="00026737">
            <w:pPr>
              <w:jc w:val="center"/>
              <w:rPr>
                <w:rFonts w:cs="Arial"/>
                <w:b/>
                <w:bCs/>
                <w:sz w:val="22"/>
                <w:szCs w:val="22"/>
              </w:rPr>
            </w:pPr>
            <w:r w:rsidRPr="00F97006">
              <w:rPr>
                <w:rFonts w:cs="Arial"/>
                <w:b/>
                <w:bCs/>
                <w:sz w:val="22"/>
                <w:szCs w:val="22"/>
              </w:rPr>
              <w:t>£m</w:t>
            </w:r>
          </w:p>
        </w:tc>
        <w:tc>
          <w:tcPr>
            <w:tcW w:w="2265" w:type="dxa"/>
            <w:tcBorders>
              <w:top w:val="single" w:sz="4" w:space="0" w:color="auto"/>
              <w:left w:val="nil"/>
              <w:bottom w:val="single" w:sz="4" w:space="0" w:color="auto"/>
              <w:right w:val="single" w:sz="4" w:space="0" w:color="auto"/>
            </w:tcBorders>
            <w:shd w:val="clear" w:color="auto" w:fill="auto"/>
            <w:noWrap/>
            <w:vAlign w:val="bottom"/>
            <w:hideMark/>
          </w:tcPr>
          <w:p w:rsidR="00026737" w:rsidRPr="00F97006" w:rsidRDefault="008A011B" w:rsidP="00026737">
            <w:pPr>
              <w:jc w:val="center"/>
              <w:rPr>
                <w:rFonts w:cs="Arial"/>
                <w:b/>
                <w:bCs/>
                <w:sz w:val="22"/>
                <w:szCs w:val="22"/>
              </w:rPr>
            </w:pPr>
            <w:r w:rsidRPr="00F97006">
              <w:rPr>
                <w:rFonts w:cs="Arial"/>
                <w:b/>
                <w:bCs/>
                <w:sz w:val="22"/>
                <w:szCs w:val="22"/>
              </w:rPr>
              <w:t>£m</w:t>
            </w:r>
          </w:p>
        </w:tc>
        <w:tc>
          <w:tcPr>
            <w:tcW w:w="2266" w:type="dxa"/>
            <w:tcBorders>
              <w:top w:val="single" w:sz="4" w:space="0" w:color="auto"/>
              <w:left w:val="nil"/>
              <w:bottom w:val="single" w:sz="4" w:space="0" w:color="auto"/>
              <w:right w:val="single" w:sz="4" w:space="0" w:color="auto"/>
            </w:tcBorders>
            <w:shd w:val="clear" w:color="auto" w:fill="auto"/>
            <w:noWrap/>
            <w:vAlign w:val="bottom"/>
            <w:hideMark/>
          </w:tcPr>
          <w:p w:rsidR="00026737" w:rsidRPr="00F97006" w:rsidRDefault="008A011B" w:rsidP="00026737">
            <w:pPr>
              <w:jc w:val="center"/>
              <w:rPr>
                <w:rFonts w:cs="Arial"/>
                <w:b/>
                <w:bCs/>
                <w:sz w:val="22"/>
                <w:szCs w:val="22"/>
              </w:rPr>
            </w:pPr>
            <w:r w:rsidRPr="00F97006">
              <w:rPr>
                <w:rFonts w:cs="Arial"/>
                <w:b/>
                <w:bCs/>
                <w:sz w:val="22"/>
                <w:szCs w:val="22"/>
              </w:rPr>
              <w:t>£m</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Nursery</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sz w:val="22"/>
                <w:szCs w:val="22"/>
              </w:rPr>
            </w:pPr>
            <w:r w:rsidRPr="00F97006">
              <w:rPr>
                <w:rFonts w:cs="Arial"/>
                <w:sz w:val="22"/>
                <w:szCs w:val="22"/>
              </w:rPr>
              <w:t xml:space="preserve">0.800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-0.334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0.466 </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Primary</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sz w:val="22"/>
                <w:szCs w:val="22"/>
              </w:rPr>
            </w:pPr>
            <w:r w:rsidRPr="00F97006">
              <w:rPr>
                <w:rFonts w:cs="Arial"/>
                <w:sz w:val="22"/>
                <w:szCs w:val="22"/>
              </w:rPr>
              <w:t xml:space="preserve">34.003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1.174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35.177 </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Secondary</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sz w:val="22"/>
                <w:szCs w:val="22"/>
              </w:rPr>
            </w:pPr>
            <w:r w:rsidRPr="00F97006">
              <w:rPr>
                <w:rFonts w:cs="Arial"/>
                <w:sz w:val="22"/>
                <w:szCs w:val="22"/>
              </w:rPr>
              <w:t xml:space="preserve">5.119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-1.352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3.766 </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Special</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sz w:val="22"/>
                <w:szCs w:val="22"/>
              </w:rPr>
            </w:pPr>
            <w:r w:rsidRPr="00F97006">
              <w:rPr>
                <w:rFonts w:cs="Arial"/>
                <w:sz w:val="22"/>
                <w:szCs w:val="22"/>
              </w:rPr>
              <w:t xml:space="preserve">4.802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-0.812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3.989 </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 xml:space="preserve">Short Stay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sz w:val="22"/>
                <w:szCs w:val="22"/>
              </w:rPr>
            </w:pPr>
            <w:r w:rsidRPr="00F97006">
              <w:rPr>
                <w:rFonts w:cs="Arial"/>
                <w:sz w:val="22"/>
                <w:szCs w:val="22"/>
              </w:rPr>
              <w:t xml:space="preserve">0.557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0.194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color w:val="auto"/>
                <w:sz w:val="22"/>
                <w:szCs w:val="22"/>
              </w:rPr>
            </w:pPr>
            <w:r w:rsidRPr="00F97006">
              <w:rPr>
                <w:rFonts w:cs="Arial"/>
                <w:color w:val="auto"/>
                <w:sz w:val="22"/>
                <w:szCs w:val="22"/>
              </w:rPr>
              <w:t xml:space="preserve">0.751 </w:t>
            </w:r>
          </w:p>
        </w:tc>
      </w:tr>
      <w:tr w:rsidR="006D1BD3" w:rsidTr="00026737">
        <w:trPr>
          <w:trHeight w:val="293"/>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b/>
                <w:sz w:val="22"/>
                <w:szCs w:val="22"/>
              </w:rPr>
            </w:pPr>
            <w:r w:rsidRPr="00F97006">
              <w:rPr>
                <w:rFonts w:cs="Arial"/>
                <w:b/>
                <w:sz w:val="22"/>
                <w:szCs w:val="22"/>
              </w:rPr>
              <w:t>Total</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b/>
                <w:sz w:val="22"/>
                <w:szCs w:val="22"/>
              </w:rPr>
            </w:pPr>
            <w:r w:rsidRPr="00F97006">
              <w:rPr>
                <w:rFonts w:cs="Arial"/>
                <w:b/>
                <w:sz w:val="22"/>
                <w:szCs w:val="22"/>
              </w:rPr>
              <w:t xml:space="preserve">45.281 </w:t>
            </w:r>
          </w:p>
        </w:tc>
        <w:tc>
          <w:tcPr>
            <w:tcW w:w="2265"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b/>
                <w:color w:val="auto"/>
                <w:sz w:val="22"/>
                <w:szCs w:val="22"/>
              </w:rPr>
            </w:pPr>
            <w:r w:rsidRPr="00F97006">
              <w:rPr>
                <w:rFonts w:cs="Arial"/>
                <w:b/>
                <w:color w:val="auto"/>
                <w:sz w:val="22"/>
                <w:szCs w:val="22"/>
              </w:rPr>
              <w:t xml:space="preserve">-1.131 </w:t>
            </w:r>
          </w:p>
        </w:tc>
        <w:tc>
          <w:tcPr>
            <w:tcW w:w="226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747"/>
              <w:jc w:val="right"/>
              <w:rPr>
                <w:rFonts w:cs="Arial"/>
                <w:b/>
                <w:color w:val="auto"/>
                <w:sz w:val="22"/>
                <w:szCs w:val="22"/>
              </w:rPr>
            </w:pPr>
            <w:r w:rsidRPr="00F97006">
              <w:rPr>
                <w:rFonts w:cs="Arial"/>
                <w:b/>
                <w:color w:val="auto"/>
                <w:sz w:val="22"/>
                <w:szCs w:val="22"/>
              </w:rPr>
              <w:t xml:space="preserve">44.150 </w:t>
            </w:r>
          </w:p>
        </w:tc>
      </w:tr>
    </w:tbl>
    <w:p w:rsidR="00026737" w:rsidRDefault="00A953D6" w:rsidP="00026737"/>
    <w:p w:rsidR="00026737" w:rsidRDefault="008A011B" w:rsidP="00026737">
      <w:pPr>
        <w:spacing w:after="0"/>
      </w:pPr>
      <w:r w:rsidRPr="000165DF">
        <w:t>The outturn position shows a reduction in the aggregate level of school balances at 31 March 2018 to £</w:t>
      </w:r>
      <w:r>
        <w:t>44.150m</w:t>
      </w:r>
      <w:r w:rsidRPr="000165DF">
        <w:t xml:space="preserve">.  Continued reductions in the level of </w:t>
      </w:r>
      <w:r>
        <w:t xml:space="preserve">aggregate </w:t>
      </w:r>
      <w:r w:rsidRPr="000165DF">
        <w:t xml:space="preserve">balances held </w:t>
      </w:r>
      <w:r>
        <w:t xml:space="preserve">by schools is indicative of the ongoing pressure on school funding.  Dedicated Schools Grant (DSG) income has, for a number of years, been cash flat, or has not kept pace with inflation.  Considerable reductions in balances </w:t>
      </w:r>
      <w:r w:rsidRPr="000165DF">
        <w:t>in the nursery and secondary school sectors reflects the significant financial challenges confronting these phases.  Financial pressures</w:t>
      </w:r>
      <w:r>
        <w:t xml:space="preserve">, particularly </w:t>
      </w:r>
      <w:r w:rsidRPr="000165DF">
        <w:t xml:space="preserve">on special and short stay schools are expected to increase in 2018/19, as </w:t>
      </w:r>
      <w:r>
        <w:t xml:space="preserve">the </w:t>
      </w:r>
      <w:r w:rsidRPr="000165DF">
        <w:t xml:space="preserve">savings </w:t>
      </w:r>
      <w:r>
        <w:t xml:space="preserve">that are </w:t>
      </w:r>
      <w:r w:rsidRPr="000165DF">
        <w:t>required on the High Needs Block of the Dedicated Schools Grant impact.</w:t>
      </w:r>
    </w:p>
    <w:p w:rsidR="00026737" w:rsidRPr="000165DF" w:rsidRDefault="00A953D6" w:rsidP="00026737">
      <w:pPr>
        <w:spacing w:after="0"/>
      </w:pPr>
    </w:p>
    <w:p w:rsidR="00026737" w:rsidRDefault="008A011B" w:rsidP="00026737">
      <w:pPr>
        <w:spacing w:after="0"/>
        <w:rPr>
          <w:b/>
        </w:rPr>
      </w:pPr>
      <w:r>
        <w:rPr>
          <w:b/>
        </w:rPr>
        <w:t>2017/18</w:t>
      </w:r>
      <w:r w:rsidRPr="000C4ADB">
        <w:rPr>
          <w:b/>
        </w:rPr>
        <w:t xml:space="preserve"> School Balances </w:t>
      </w:r>
      <w:r>
        <w:rPr>
          <w:b/>
        </w:rPr>
        <w:t>–</w:t>
      </w:r>
      <w:r w:rsidRPr="000C4ADB">
        <w:rPr>
          <w:b/>
        </w:rPr>
        <w:t>In-Year Movement</w:t>
      </w:r>
      <w:r>
        <w:rPr>
          <w:b/>
        </w:rPr>
        <w:t xml:space="preserve"> Count of Schools by Phase</w:t>
      </w:r>
    </w:p>
    <w:p w:rsidR="00026737" w:rsidRDefault="00A953D6" w:rsidP="00026737">
      <w:pPr>
        <w:spacing w:after="0"/>
      </w:pPr>
    </w:p>
    <w:tbl>
      <w:tblPr>
        <w:tblW w:w="9062" w:type="dxa"/>
        <w:tblLayout w:type="fixed"/>
        <w:tblLook w:val="04A0" w:firstRow="1" w:lastRow="0" w:firstColumn="1" w:lastColumn="0" w:noHBand="0" w:noVBand="1"/>
      </w:tblPr>
      <w:tblGrid>
        <w:gridCol w:w="3109"/>
        <w:gridCol w:w="2977"/>
        <w:gridCol w:w="2976"/>
      </w:tblGrid>
      <w:tr w:rsidR="006D1BD3" w:rsidTr="00026737">
        <w:trPr>
          <w:trHeight w:val="664"/>
        </w:trPr>
        <w:tc>
          <w:tcPr>
            <w:tcW w:w="3109" w:type="dxa"/>
            <w:tcBorders>
              <w:top w:val="single" w:sz="8" w:space="0" w:color="auto"/>
              <w:left w:val="single" w:sz="8" w:space="0" w:color="auto"/>
              <w:bottom w:val="nil"/>
              <w:right w:val="single" w:sz="8"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Phase</w:t>
            </w:r>
          </w:p>
        </w:tc>
        <w:tc>
          <w:tcPr>
            <w:tcW w:w="2977"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Count of deficit in year</w:t>
            </w:r>
          </w:p>
        </w:tc>
        <w:tc>
          <w:tcPr>
            <w:tcW w:w="2976"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Count of surplus in year</w:t>
            </w:r>
          </w:p>
        </w:tc>
      </w:tr>
      <w:tr w:rsidR="006D1BD3" w:rsidTr="00026737">
        <w:trPr>
          <w:trHeight w:val="476"/>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spacing w:after="0"/>
              <w:jc w:val="left"/>
              <w:rPr>
                <w:rFonts w:cs="Arial"/>
                <w:sz w:val="22"/>
                <w:szCs w:val="22"/>
              </w:rPr>
            </w:pPr>
            <w:r w:rsidRPr="00F97006">
              <w:rPr>
                <w:rFonts w:cs="Arial"/>
                <w:sz w:val="22"/>
                <w:szCs w:val="22"/>
              </w:rPr>
              <w:t>Nursery</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26737" w:rsidRPr="00F97006" w:rsidRDefault="008A011B" w:rsidP="00026737">
            <w:pPr>
              <w:spacing w:after="0"/>
              <w:ind w:right="1168"/>
              <w:jc w:val="right"/>
              <w:rPr>
                <w:rFonts w:cs="Arial"/>
                <w:sz w:val="22"/>
                <w:szCs w:val="22"/>
              </w:rPr>
            </w:pPr>
            <w:r w:rsidRPr="00F97006">
              <w:rPr>
                <w:rFonts w:cs="Arial"/>
                <w:sz w:val="22"/>
                <w:szCs w:val="22"/>
              </w:rPr>
              <w:t>15</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026737" w:rsidRPr="00F97006" w:rsidRDefault="008A011B" w:rsidP="00026737">
            <w:pPr>
              <w:spacing w:after="0"/>
              <w:ind w:right="1168"/>
              <w:jc w:val="right"/>
              <w:rPr>
                <w:rFonts w:cs="Arial"/>
                <w:sz w:val="22"/>
                <w:szCs w:val="22"/>
              </w:rPr>
            </w:pPr>
            <w:r w:rsidRPr="00F97006">
              <w:rPr>
                <w:rFonts w:cs="Arial"/>
                <w:sz w:val="22"/>
                <w:szCs w:val="22"/>
              </w:rPr>
              <w:t>9</w:t>
            </w:r>
          </w:p>
        </w:tc>
      </w:tr>
      <w:tr w:rsidR="006D1BD3" w:rsidTr="00026737">
        <w:trPr>
          <w:trHeight w:val="476"/>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Primary</w:t>
            </w:r>
          </w:p>
        </w:tc>
        <w:tc>
          <w:tcPr>
            <w:tcW w:w="2977"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220</w:t>
            </w:r>
          </w:p>
        </w:tc>
        <w:tc>
          <w:tcPr>
            <w:tcW w:w="297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254</w:t>
            </w:r>
          </w:p>
        </w:tc>
      </w:tr>
      <w:tr w:rsidR="006D1BD3" w:rsidTr="00026737">
        <w:trPr>
          <w:trHeight w:val="476"/>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Secondary</w:t>
            </w:r>
          </w:p>
        </w:tc>
        <w:tc>
          <w:tcPr>
            <w:tcW w:w="2977"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30</w:t>
            </w:r>
          </w:p>
        </w:tc>
        <w:tc>
          <w:tcPr>
            <w:tcW w:w="297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30</w:t>
            </w:r>
          </w:p>
        </w:tc>
      </w:tr>
      <w:tr w:rsidR="006D1BD3" w:rsidTr="00026737">
        <w:trPr>
          <w:trHeight w:val="476"/>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Special</w:t>
            </w:r>
          </w:p>
        </w:tc>
        <w:tc>
          <w:tcPr>
            <w:tcW w:w="2977"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14</w:t>
            </w:r>
          </w:p>
        </w:tc>
        <w:tc>
          <w:tcPr>
            <w:tcW w:w="297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15</w:t>
            </w:r>
          </w:p>
        </w:tc>
      </w:tr>
      <w:tr w:rsidR="006D1BD3" w:rsidTr="00026737">
        <w:trPr>
          <w:trHeight w:val="476"/>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Short Stay</w:t>
            </w:r>
          </w:p>
        </w:tc>
        <w:tc>
          <w:tcPr>
            <w:tcW w:w="2977"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1168"/>
              <w:jc w:val="right"/>
              <w:rPr>
                <w:rFonts w:cs="Arial"/>
                <w:sz w:val="22"/>
                <w:szCs w:val="22"/>
              </w:rPr>
            </w:pPr>
            <w:r w:rsidRPr="00F97006">
              <w:rPr>
                <w:rFonts w:cs="Arial"/>
                <w:sz w:val="22"/>
                <w:szCs w:val="22"/>
              </w:rPr>
              <w:t>6</w:t>
            </w:r>
          </w:p>
        </w:tc>
      </w:tr>
      <w:tr w:rsidR="006D1BD3" w:rsidTr="00026737">
        <w:trPr>
          <w:trHeight w:val="476"/>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spacing w:after="0"/>
              <w:jc w:val="left"/>
              <w:rPr>
                <w:rFonts w:cs="Arial"/>
                <w:b/>
                <w:bCs/>
                <w:sz w:val="22"/>
                <w:szCs w:val="22"/>
              </w:rPr>
            </w:pPr>
            <w:r w:rsidRPr="00F97006">
              <w:rPr>
                <w:rFonts w:cs="Arial"/>
                <w:b/>
                <w:bCs/>
                <w:sz w:val="22"/>
                <w:szCs w:val="22"/>
              </w:rPr>
              <w:t>Total</w:t>
            </w:r>
          </w:p>
        </w:tc>
        <w:tc>
          <w:tcPr>
            <w:tcW w:w="2977"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spacing w:after="0"/>
              <w:ind w:right="1168"/>
              <w:jc w:val="right"/>
              <w:rPr>
                <w:rFonts w:cs="Arial"/>
                <w:b/>
                <w:bCs/>
                <w:sz w:val="22"/>
                <w:szCs w:val="22"/>
              </w:rPr>
            </w:pPr>
            <w:r w:rsidRPr="00F97006">
              <w:rPr>
                <w:rFonts w:cs="Arial"/>
                <w:b/>
                <w:bCs/>
                <w:sz w:val="22"/>
                <w:szCs w:val="22"/>
              </w:rPr>
              <w:t>282</w:t>
            </w:r>
          </w:p>
        </w:tc>
        <w:tc>
          <w:tcPr>
            <w:tcW w:w="2976"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spacing w:after="0"/>
              <w:ind w:right="1168"/>
              <w:jc w:val="right"/>
              <w:rPr>
                <w:rFonts w:cs="Arial"/>
                <w:b/>
                <w:bCs/>
                <w:sz w:val="22"/>
                <w:szCs w:val="22"/>
              </w:rPr>
            </w:pPr>
            <w:r w:rsidRPr="00F97006">
              <w:rPr>
                <w:rFonts w:cs="Arial"/>
                <w:b/>
                <w:bCs/>
                <w:sz w:val="22"/>
                <w:szCs w:val="22"/>
              </w:rPr>
              <w:t>314</w:t>
            </w:r>
          </w:p>
        </w:tc>
      </w:tr>
    </w:tbl>
    <w:p w:rsidR="00026737" w:rsidRDefault="00A953D6" w:rsidP="00026737">
      <w:pPr>
        <w:spacing w:after="0"/>
      </w:pPr>
    </w:p>
    <w:p w:rsidR="00026737" w:rsidRDefault="008A011B" w:rsidP="00026737">
      <w:pPr>
        <w:spacing w:after="0"/>
      </w:pPr>
      <w:r>
        <w:t xml:space="preserve">282 schools (47%) </w:t>
      </w:r>
      <w:r w:rsidRPr="009F724A">
        <w:t>operated an in year deficit in 2017/18, spending funding from reserves</w:t>
      </w:r>
      <w:r>
        <w:t>. The s</w:t>
      </w:r>
      <w:r w:rsidRPr="009F724A">
        <w:t xml:space="preserve">ignificant numbers of schools, across all phases, </w:t>
      </w:r>
      <w:r>
        <w:t>using</w:t>
      </w:r>
      <w:r w:rsidRPr="009F724A">
        <w:t xml:space="preserve"> reserves in </w:t>
      </w:r>
      <w:r>
        <w:t xml:space="preserve">order to balance their budgets </w:t>
      </w:r>
      <w:r w:rsidRPr="009F724A">
        <w:t xml:space="preserve">demonstrates the persistent financial pressures </w:t>
      </w:r>
      <w:r>
        <w:t xml:space="preserve">in </w:t>
      </w:r>
      <w:r w:rsidRPr="009F724A">
        <w:t xml:space="preserve">the </w:t>
      </w:r>
      <w:r w:rsidRPr="009F724A">
        <w:lastRenderedPageBreak/>
        <w:t>school sector.</w:t>
      </w:r>
      <w:r>
        <w:t xml:space="preserve">  The number of schools operating an in year deficit is the second highest on record, compared to </w:t>
      </w:r>
      <w:r w:rsidRPr="009F724A">
        <w:t>368 schools</w:t>
      </w:r>
      <w:r>
        <w:t xml:space="preserve"> in 2016/17; </w:t>
      </w:r>
      <w:r w:rsidRPr="009F724A">
        <w:t xml:space="preserve">276 schools in 2015/16 and 256 in 2014/15.  </w:t>
      </w:r>
    </w:p>
    <w:p w:rsidR="00026737" w:rsidRDefault="00A953D6" w:rsidP="00026737">
      <w:pPr>
        <w:spacing w:after="0"/>
      </w:pPr>
    </w:p>
    <w:p w:rsidR="00026737" w:rsidRPr="001A5996" w:rsidRDefault="008A011B" w:rsidP="00026737">
      <w:pPr>
        <w:spacing w:after="0"/>
        <w:rPr>
          <w:b/>
        </w:rPr>
      </w:pPr>
      <w:r>
        <w:rPr>
          <w:b/>
        </w:rPr>
        <w:t>2017/18</w:t>
      </w:r>
      <w:r w:rsidRPr="001A5996">
        <w:rPr>
          <w:b/>
        </w:rPr>
        <w:t xml:space="preserve"> School Balances – No of Schools in Surplus/Deficit by Phase</w:t>
      </w:r>
    </w:p>
    <w:p w:rsidR="00026737" w:rsidRDefault="00A953D6" w:rsidP="00026737">
      <w:pPr>
        <w:spacing w:after="0"/>
      </w:pPr>
    </w:p>
    <w:tbl>
      <w:tblPr>
        <w:tblW w:w="8921" w:type="dxa"/>
        <w:tblLayout w:type="fixed"/>
        <w:tblLook w:val="04A0" w:firstRow="1" w:lastRow="0" w:firstColumn="1" w:lastColumn="0" w:noHBand="0" w:noVBand="1"/>
      </w:tblPr>
      <w:tblGrid>
        <w:gridCol w:w="3109"/>
        <w:gridCol w:w="2977"/>
        <w:gridCol w:w="2835"/>
      </w:tblGrid>
      <w:tr w:rsidR="006D1BD3" w:rsidTr="00026737">
        <w:trPr>
          <w:trHeight w:val="675"/>
        </w:trPr>
        <w:tc>
          <w:tcPr>
            <w:tcW w:w="3109" w:type="dxa"/>
            <w:tcBorders>
              <w:top w:val="single" w:sz="8" w:space="0" w:color="auto"/>
              <w:left w:val="single" w:sz="8" w:space="0" w:color="auto"/>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Phase</w:t>
            </w:r>
          </w:p>
        </w:tc>
        <w:tc>
          <w:tcPr>
            <w:tcW w:w="2977"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Count of deficit close balance</w:t>
            </w:r>
          </w:p>
        </w:tc>
        <w:tc>
          <w:tcPr>
            <w:tcW w:w="2835" w:type="dxa"/>
            <w:tcBorders>
              <w:top w:val="single" w:sz="8" w:space="0" w:color="auto"/>
              <w:left w:val="nil"/>
              <w:bottom w:val="nil"/>
              <w:right w:val="single" w:sz="8" w:space="0" w:color="auto"/>
            </w:tcBorders>
            <w:shd w:val="clear" w:color="auto" w:fill="auto"/>
            <w:vAlign w:val="center"/>
            <w:hideMark/>
          </w:tcPr>
          <w:p w:rsidR="00026737" w:rsidRPr="00F97006" w:rsidRDefault="008A011B" w:rsidP="00026737">
            <w:pPr>
              <w:jc w:val="center"/>
              <w:rPr>
                <w:rFonts w:cs="Arial"/>
                <w:b/>
                <w:bCs/>
                <w:sz w:val="22"/>
                <w:szCs w:val="22"/>
              </w:rPr>
            </w:pPr>
            <w:r w:rsidRPr="00F97006">
              <w:rPr>
                <w:rFonts w:cs="Arial"/>
                <w:b/>
                <w:bCs/>
                <w:sz w:val="22"/>
                <w:szCs w:val="22"/>
              </w:rPr>
              <w:t>Count of surplus close balance</w:t>
            </w:r>
          </w:p>
        </w:tc>
      </w:tr>
      <w:tr w:rsidR="006D1BD3" w:rsidTr="00026737">
        <w:trPr>
          <w:trHeight w:val="404"/>
        </w:trPr>
        <w:tc>
          <w:tcPr>
            <w:tcW w:w="3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Nursery</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6</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18</w:t>
            </w:r>
          </w:p>
        </w:tc>
      </w:tr>
      <w:tr w:rsidR="006D1BD3" w:rsidTr="00026737">
        <w:trPr>
          <w:trHeight w:val="404"/>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Primary</w:t>
            </w:r>
          </w:p>
        </w:tc>
        <w:tc>
          <w:tcPr>
            <w:tcW w:w="2977"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19</w:t>
            </w:r>
          </w:p>
        </w:tc>
        <w:tc>
          <w:tcPr>
            <w:tcW w:w="2835"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455</w:t>
            </w:r>
          </w:p>
        </w:tc>
      </w:tr>
      <w:tr w:rsidR="006D1BD3" w:rsidTr="00026737">
        <w:trPr>
          <w:trHeight w:val="404"/>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Secondary</w:t>
            </w:r>
          </w:p>
        </w:tc>
        <w:tc>
          <w:tcPr>
            <w:tcW w:w="2977"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15</w:t>
            </w:r>
          </w:p>
        </w:tc>
        <w:tc>
          <w:tcPr>
            <w:tcW w:w="2835"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45</w:t>
            </w:r>
          </w:p>
        </w:tc>
      </w:tr>
      <w:tr w:rsidR="006D1BD3" w:rsidTr="00026737">
        <w:trPr>
          <w:trHeight w:val="404"/>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Special</w:t>
            </w:r>
          </w:p>
        </w:tc>
        <w:tc>
          <w:tcPr>
            <w:tcW w:w="2977"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4</w:t>
            </w:r>
          </w:p>
        </w:tc>
        <w:tc>
          <w:tcPr>
            <w:tcW w:w="2835"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25</w:t>
            </w:r>
          </w:p>
        </w:tc>
      </w:tr>
      <w:tr w:rsidR="006D1BD3" w:rsidTr="00026737">
        <w:trPr>
          <w:trHeight w:val="404"/>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rPr>
                <w:rFonts w:cs="Arial"/>
                <w:sz w:val="22"/>
                <w:szCs w:val="22"/>
              </w:rPr>
            </w:pPr>
            <w:r w:rsidRPr="00F97006">
              <w:rPr>
                <w:rFonts w:cs="Arial"/>
                <w:sz w:val="22"/>
                <w:szCs w:val="22"/>
              </w:rPr>
              <w:t xml:space="preserve">Short Stay </w:t>
            </w:r>
          </w:p>
        </w:tc>
        <w:tc>
          <w:tcPr>
            <w:tcW w:w="2977"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3</w:t>
            </w:r>
          </w:p>
        </w:tc>
        <w:tc>
          <w:tcPr>
            <w:tcW w:w="2835"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ind w:right="1168"/>
              <w:jc w:val="right"/>
              <w:rPr>
                <w:rFonts w:cs="Arial"/>
                <w:sz w:val="22"/>
                <w:szCs w:val="22"/>
              </w:rPr>
            </w:pPr>
            <w:r w:rsidRPr="00F97006">
              <w:rPr>
                <w:rFonts w:cs="Arial"/>
                <w:sz w:val="22"/>
                <w:szCs w:val="22"/>
              </w:rPr>
              <w:t>6</w:t>
            </w:r>
          </w:p>
        </w:tc>
      </w:tr>
      <w:tr w:rsidR="006D1BD3" w:rsidTr="00026737">
        <w:trPr>
          <w:trHeight w:val="404"/>
        </w:trPr>
        <w:tc>
          <w:tcPr>
            <w:tcW w:w="3109" w:type="dxa"/>
            <w:tcBorders>
              <w:top w:val="nil"/>
              <w:left w:val="single" w:sz="4" w:space="0" w:color="auto"/>
              <w:bottom w:val="single" w:sz="4" w:space="0" w:color="auto"/>
              <w:right w:val="single" w:sz="4" w:space="0" w:color="auto"/>
            </w:tcBorders>
            <w:shd w:val="clear" w:color="auto" w:fill="auto"/>
            <w:noWrap/>
            <w:vAlign w:val="bottom"/>
            <w:hideMark/>
          </w:tcPr>
          <w:p w:rsidR="00026737" w:rsidRPr="00F97006" w:rsidRDefault="008A011B" w:rsidP="00026737">
            <w:pPr>
              <w:spacing w:after="0"/>
              <w:rPr>
                <w:rFonts w:cs="Arial"/>
                <w:b/>
                <w:bCs/>
                <w:sz w:val="22"/>
                <w:szCs w:val="22"/>
              </w:rPr>
            </w:pPr>
            <w:r w:rsidRPr="00F97006">
              <w:rPr>
                <w:rFonts w:cs="Arial"/>
                <w:b/>
                <w:bCs/>
                <w:sz w:val="22"/>
                <w:szCs w:val="22"/>
              </w:rPr>
              <w:t>Total</w:t>
            </w:r>
          </w:p>
        </w:tc>
        <w:tc>
          <w:tcPr>
            <w:tcW w:w="2977"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spacing w:after="0"/>
              <w:ind w:right="1168"/>
              <w:jc w:val="right"/>
              <w:rPr>
                <w:rFonts w:cs="Arial"/>
                <w:b/>
                <w:bCs/>
                <w:sz w:val="22"/>
                <w:szCs w:val="22"/>
              </w:rPr>
            </w:pPr>
            <w:r w:rsidRPr="00F97006">
              <w:rPr>
                <w:rFonts w:cs="Arial"/>
                <w:b/>
                <w:bCs/>
                <w:sz w:val="22"/>
                <w:szCs w:val="22"/>
              </w:rPr>
              <w:t>47</w:t>
            </w:r>
          </w:p>
        </w:tc>
        <w:tc>
          <w:tcPr>
            <w:tcW w:w="2835" w:type="dxa"/>
            <w:tcBorders>
              <w:top w:val="nil"/>
              <w:left w:val="nil"/>
              <w:bottom w:val="single" w:sz="4" w:space="0" w:color="auto"/>
              <w:right w:val="single" w:sz="4" w:space="0" w:color="auto"/>
            </w:tcBorders>
            <w:shd w:val="clear" w:color="auto" w:fill="auto"/>
            <w:noWrap/>
            <w:vAlign w:val="bottom"/>
            <w:hideMark/>
          </w:tcPr>
          <w:p w:rsidR="00026737" w:rsidRPr="00F97006" w:rsidRDefault="008A011B" w:rsidP="00026737">
            <w:pPr>
              <w:spacing w:after="0"/>
              <w:ind w:right="1168"/>
              <w:jc w:val="right"/>
              <w:rPr>
                <w:rFonts w:cs="Arial"/>
                <w:b/>
                <w:bCs/>
                <w:sz w:val="22"/>
                <w:szCs w:val="22"/>
              </w:rPr>
            </w:pPr>
            <w:r w:rsidRPr="00F97006">
              <w:rPr>
                <w:rFonts w:cs="Arial"/>
                <w:b/>
                <w:bCs/>
                <w:sz w:val="22"/>
                <w:szCs w:val="22"/>
              </w:rPr>
              <w:t>549</w:t>
            </w:r>
          </w:p>
        </w:tc>
      </w:tr>
    </w:tbl>
    <w:p w:rsidR="00026737" w:rsidRDefault="00A953D6" w:rsidP="00026737">
      <w:pPr>
        <w:spacing w:after="0"/>
      </w:pPr>
    </w:p>
    <w:p w:rsidR="00026737" w:rsidRDefault="008A011B" w:rsidP="00026737">
      <w:pPr>
        <w:spacing w:after="0"/>
        <w:rPr>
          <w:rFonts w:cs="Arial"/>
        </w:rPr>
      </w:pPr>
      <w:r>
        <w:t xml:space="preserve">Data around the number of schools ending the year in deficit also shows the worsening real terms position around school funding, with 47 schools ending the year in deficit.  This is the largest number of schools in deficit ever experienced in Lancashire, and includes schools from every phase. The 2017/18 year end position compares to 40 schools in deficit at 31 March 2017, </w:t>
      </w:r>
      <w:r w:rsidRPr="00DD6981">
        <w:rPr>
          <w:rFonts w:cs="Arial"/>
        </w:rPr>
        <w:t xml:space="preserve">25 schools </w:t>
      </w:r>
      <w:r>
        <w:rPr>
          <w:rFonts w:cs="Arial"/>
        </w:rPr>
        <w:t xml:space="preserve">at 31 March 2016 and </w:t>
      </w:r>
      <w:r w:rsidRPr="00DD6981">
        <w:rPr>
          <w:rFonts w:cs="Arial"/>
        </w:rPr>
        <w:t>18 schools at 31 March 2015</w:t>
      </w:r>
      <w:r>
        <w:rPr>
          <w:rFonts w:cs="Arial"/>
        </w:rPr>
        <w:t xml:space="preserve">.  </w:t>
      </w:r>
    </w:p>
    <w:p w:rsidR="00026737" w:rsidRDefault="00A953D6">
      <w:pPr>
        <w:autoSpaceDE/>
        <w:autoSpaceDN/>
        <w:adjustRightInd/>
        <w:spacing w:after="0"/>
        <w:jc w:val="left"/>
      </w:pPr>
    </w:p>
    <w:p w:rsidR="00026737" w:rsidRPr="00B76A1F" w:rsidRDefault="008A011B" w:rsidP="00026737">
      <w:pPr>
        <w:spacing w:after="0"/>
        <w:rPr>
          <w:b/>
        </w:rPr>
      </w:pPr>
      <w:r w:rsidRPr="00B76A1F">
        <w:rPr>
          <w:b/>
        </w:rPr>
        <w:t>Aggregate School Balances</w:t>
      </w:r>
      <w:r>
        <w:rPr>
          <w:b/>
        </w:rPr>
        <w:t xml:space="preserve"> by Year</w:t>
      </w:r>
    </w:p>
    <w:p w:rsidR="00026737" w:rsidRDefault="00A953D6" w:rsidP="00026737">
      <w:pPr>
        <w:spacing w:after="0"/>
      </w:pPr>
    </w:p>
    <w:p w:rsidR="00026737" w:rsidRDefault="008A011B" w:rsidP="00026737">
      <w:pPr>
        <w:spacing w:after="0"/>
      </w:pPr>
      <w:r>
        <w:rPr>
          <w:noProof/>
          <w:lang w:eastAsia="en-GB"/>
        </w:rPr>
        <w:drawing>
          <wp:inline distT="0" distB="0" distL="0" distR="0">
            <wp:extent cx="5600700" cy="3195320"/>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6737" w:rsidRDefault="00A953D6" w:rsidP="00026737">
      <w:pPr>
        <w:spacing w:after="0"/>
      </w:pPr>
    </w:p>
    <w:p w:rsidR="00026737" w:rsidRDefault="008A011B" w:rsidP="00026737">
      <w:pPr>
        <w:spacing w:after="0"/>
      </w:pPr>
      <w:r>
        <w:t xml:space="preserve">The graph demonstrates the trend in aggregate school balances over recent years.  </w:t>
      </w:r>
      <w:r w:rsidRPr="00B442FF">
        <w:t>Balances at 31 March 2018 are at their lowest level since 2009/10</w:t>
      </w:r>
      <w:r>
        <w:t xml:space="preserve"> and show a continued decline in aggregate school balances, from a peak in 2014/15, as schools utilise their reserves to set balanced budgets.</w:t>
      </w:r>
    </w:p>
    <w:p w:rsidR="00026737" w:rsidRDefault="00A953D6" w:rsidP="00026737">
      <w:pPr>
        <w:spacing w:after="0"/>
      </w:pPr>
    </w:p>
    <w:p w:rsidR="00026737" w:rsidRDefault="00A953D6" w:rsidP="00026737">
      <w:pPr>
        <w:spacing w:after="0"/>
      </w:pPr>
    </w:p>
    <w:p w:rsidR="00026737" w:rsidRDefault="008A011B" w:rsidP="00026737">
      <w:pPr>
        <w:spacing w:after="0"/>
        <w:rPr>
          <w:b/>
        </w:rPr>
      </w:pPr>
      <w:r>
        <w:rPr>
          <w:b/>
        </w:rPr>
        <w:lastRenderedPageBreak/>
        <w:t>Schools Reserves**</w:t>
      </w:r>
    </w:p>
    <w:p w:rsidR="00026737" w:rsidRPr="00005504" w:rsidRDefault="00A953D6" w:rsidP="00026737">
      <w:pPr>
        <w:spacing w:after="0"/>
        <w:rPr>
          <w:b/>
          <w:szCs w:val="22"/>
        </w:rPr>
      </w:pPr>
    </w:p>
    <w:tbl>
      <w:tblPr>
        <w:tblW w:w="8926" w:type="dxa"/>
        <w:tblLayout w:type="fixed"/>
        <w:tblLook w:val="04A0" w:firstRow="1" w:lastRow="0" w:firstColumn="1" w:lastColumn="0" w:noHBand="0" w:noVBand="1"/>
      </w:tblPr>
      <w:tblGrid>
        <w:gridCol w:w="2231"/>
        <w:gridCol w:w="2232"/>
        <w:gridCol w:w="2231"/>
        <w:gridCol w:w="2232"/>
      </w:tblGrid>
      <w:tr w:rsidR="006D1BD3" w:rsidTr="00026737">
        <w:trPr>
          <w:trHeight w:val="20"/>
        </w:trPr>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6737" w:rsidRPr="00F97006" w:rsidRDefault="00A953D6" w:rsidP="00026737">
            <w:pPr>
              <w:spacing w:after="0"/>
              <w:jc w:val="center"/>
              <w:rPr>
                <w:rFonts w:cs="Arial"/>
                <w:b/>
                <w:bCs/>
                <w:sz w:val="22"/>
                <w:szCs w:val="22"/>
              </w:rPr>
            </w:pP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Open Balance</w:t>
            </w:r>
          </w:p>
          <w:p w:rsidR="00026737" w:rsidRPr="00F97006" w:rsidRDefault="008A011B" w:rsidP="00026737">
            <w:pPr>
              <w:spacing w:after="0"/>
              <w:jc w:val="center"/>
              <w:rPr>
                <w:rFonts w:cs="Arial"/>
                <w:b/>
                <w:bCs/>
                <w:sz w:val="22"/>
                <w:szCs w:val="22"/>
              </w:rPr>
            </w:pPr>
            <w:r w:rsidRPr="00F97006">
              <w:rPr>
                <w:rFonts w:cs="Arial"/>
                <w:b/>
                <w:bCs/>
                <w:sz w:val="22"/>
                <w:szCs w:val="22"/>
              </w:rPr>
              <w:t>1 April 17</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In Year Changes</w:t>
            </w:r>
          </w:p>
        </w:tc>
        <w:tc>
          <w:tcPr>
            <w:tcW w:w="2232" w:type="dxa"/>
            <w:tcBorders>
              <w:top w:val="single" w:sz="4" w:space="0" w:color="auto"/>
              <w:left w:val="nil"/>
              <w:bottom w:val="single" w:sz="4" w:space="0" w:color="auto"/>
              <w:right w:val="single" w:sz="4" w:space="0" w:color="auto"/>
            </w:tcBorders>
            <w:shd w:val="clear" w:color="auto" w:fill="auto"/>
            <w:vAlign w:val="center"/>
            <w:hideMark/>
          </w:tcPr>
          <w:p w:rsidR="00026737" w:rsidRPr="00F97006" w:rsidRDefault="008A011B" w:rsidP="00026737">
            <w:pPr>
              <w:spacing w:after="0"/>
              <w:jc w:val="center"/>
              <w:rPr>
                <w:rFonts w:cs="Arial"/>
                <w:b/>
                <w:bCs/>
                <w:sz w:val="22"/>
                <w:szCs w:val="22"/>
              </w:rPr>
            </w:pPr>
            <w:r w:rsidRPr="00F97006">
              <w:rPr>
                <w:rFonts w:cs="Arial"/>
                <w:b/>
                <w:bCs/>
                <w:sz w:val="22"/>
                <w:szCs w:val="22"/>
              </w:rPr>
              <w:t>Closing Balance as at</w:t>
            </w:r>
          </w:p>
          <w:p w:rsidR="00026737" w:rsidRPr="00F97006" w:rsidRDefault="008A011B" w:rsidP="00026737">
            <w:pPr>
              <w:spacing w:after="0"/>
              <w:jc w:val="center"/>
              <w:rPr>
                <w:rFonts w:cs="Arial"/>
                <w:b/>
                <w:bCs/>
                <w:sz w:val="22"/>
                <w:szCs w:val="22"/>
              </w:rPr>
            </w:pPr>
            <w:r w:rsidRPr="00F97006">
              <w:rPr>
                <w:rFonts w:cs="Arial"/>
                <w:b/>
                <w:bCs/>
                <w:sz w:val="22"/>
                <w:szCs w:val="22"/>
              </w:rPr>
              <w:t>31 March 18</w:t>
            </w:r>
          </w:p>
        </w:tc>
      </w:tr>
      <w:tr w:rsidR="006D1BD3" w:rsidTr="00026737">
        <w:trPr>
          <w:trHeight w:val="20"/>
        </w:trPr>
        <w:tc>
          <w:tcPr>
            <w:tcW w:w="2231" w:type="dxa"/>
            <w:tcBorders>
              <w:top w:val="nil"/>
              <w:left w:val="single" w:sz="4" w:space="0" w:color="auto"/>
              <w:bottom w:val="single" w:sz="4" w:space="0" w:color="auto"/>
              <w:right w:val="single" w:sz="4" w:space="0" w:color="auto"/>
            </w:tcBorders>
            <w:shd w:val="clear" w:color="auto" w:fill="auto"/>
            <w:noWrap/>
            <w:vAlign w:val="bottom"/>
          </w:tcPr>
          <w:p w:rsidR="00026737" w:rsidRPr="00F97006" w:rsidRDefault="008A011B" w:rsidP="00026737">
            <w:pPr>
              <w:rPr>
                <w:rFonts w:cs="Arial"/>
                <w:sz w:val="22"/>
                <w:szCs w:val="22"/>
              </w:rPr>
            </w:pPr>
            <w:r w:rsidRPr="00F97006">
              <w:rPr>
                <w:rFonts w:cs="Arial"/>
                <w:sz w:val="22"/>
                <w:szCs w:val="22"/>
              </w:rPr>
              <w:t> </w:t>
            </w:r>
          </w:p>
        </w:tc>
        <w:tc>
          <w:tcPr>
            <w:tcW w:w="2232" w:type="dxa"/>
            <w:tcBorders>
              <w:top w:val="nil"/>
              <w:left w:val="nil"/>
              <w:bottom w:val="single" w:sz="4" w:space="0" w:color="auto"/>
              <w:right w:val="single" w:sz="4" w:space="0" w:color="auto"/>
            </w:tcBorders>
            <w:shd w:val="clear" w:color="auto" w:fill="auto"/>
            <w:noWrap/>
            <w:vAlign w:val="center"/>
          </w:tcPr>
          <w:p w:rsidR="00026737" w:rsidRPr="00F97006" w:rsidRDefault="008A011B" w:rsidP="00026737">
            <w:pPr>
              <w:jc w:val="center"/>
              <w:rPr>
                <w:rFonts w:cs="Arial"/>
                <w:sz w:val="22"/>
                <w:szCs w:val="22"/>
              </w:rPr>
            </w:pPr>
            <w:r w:rsidRPr="00F97006">
              <w:rPr>
                <w:rFonts w:cs="Arial"/>
                <w:b/>
                <w:bCs/>
                <w:sz w:val="22"/>
                <w:szCs w:val="22"/>
              </w:rPr>
              <w:t>£m</w:t>
            </w:r>
          </w:p>
        </w:tc>
        <w:tc>
          <w:tcPr>
            <w:tcW w:w="2231" w:type="dxa"/>
            <w:tcBorders>
              <w:top w:val="nil"/>
              <w:left w:val="nil"/>
              <w:bottom w:val="single" w:sz="4" w:space="0" w:color="auto"/>
              <w:right w:val="single" w:sz="4" w:space="0" w:color="auto"/>
            </w:tcBorders>
            <w:shd w:val="clear" w:color="auto" w:fill="auto"/>
            <w:noWrap/>
            <w:vAlign w:val="center"/>
          </w:tcPr>
          <w:p w:rsidR="00026737" w:rsidRPr="00F97006" w:rsidRDefault="008A011B" w:rsidP="00026737">
            <w:pPr>
              <w:jc w:val="center"/>
              <w:rPr>
                <w:rFonts w:cs="Arial"/>
                <w:sz w:val="22"/>
                <w:szCs w:val="22"/>
              </w:rPr>
            </w:pPr>
            <w:r w:rsidRPr="00F97006">
              <w:rPr>
                <w:rFonts w:cs="Arial"/>
                <w:b/>
                <w:bCs/>
                <w:sz w:val="22"/>
                <w:szCs w:val="22"/>
              </w:rPr>
              <w:t>£m</w:t>
            </w:r>
          </w:p>
        </w:tc>
        <w:tc>
          <w:tcPr>
            <w:tcW w:w="2232" w:type="dxa"/>
            <w:tcBorders>
              <w:top w:val="nil"/>
              <w:left w:val="nil"/>
              <w:bottom w:val="single" w:sz="4" w:space="0" w:color="auto"/>
              <w:right w:val="single" w:sz="4" w:space="0" w:color="auto"/>
            </w:tcBorders>
            <w:shd w:val="clear" w:color="auto" w:fill="auto"/>
            <w:noWrap/>
            <w:vAlign w:val="center"/>
          </w:tcPr>
          <w:p w:rsidR="00026737" w:rsidRPr="00F97006" w:rsidRDefault="008A011B" w:rsidP="00026737">
            <w:pPr>
              <w:jc w:val="center"/>
              <w:rPr>
                <w:rFonts w:cs="Arial"/>
                <w:sz w:val="22"/>
                <w:szCs w:val="22"/>
              </w:rPr>
            </w:pPr>
            <w:r w:rsidRPr="00F97006">
              <w:rPr>
                <w:rFonts w:cs="Arial"/>
                <w:b/>
                <w:bCs/>
                <w:sz w:val="22"/>
                <w:szCs w:val="22"/>
              </w:rPr>
              <w:t>£m</w:t>
            </w:r>
          </w:p>
        </w:tc>
      </w:tr>
      <w:tr w:rsidR="006D1BD3" w:rsidTr="00026737">
        <w:trPr>
          <w:trHeight w:val="2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Individual Schools Reserves</w:t>
            </w:r>
          </w:p>
        </w:tc>
        <w:tc>
          <w:tcPr>
            <w:tcW w:w="2232"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45.281</w:t>
            </w:r>
          </w:p>
        </w:tc>
        <w:tc>
          <w:tcPr>
            <w:tcW w:w="2231"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-1.131</w:t>
            </w:r>
          </w:p>
        </w:tc>
        <w:tc>
          <w:tcPr>
            <w:tcW w:w="2232"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44.150</w:t>
            </w:r>
          </w:p>
        </w:tc>
      </w:tr>
      <w:tr w:rsidR="006D1BD3" w:rsidTr="00026737">
        <w:trPr>
          <w:trHeight w:val="20"/>
        </w:trPr>
        <w:tc>
          <w:tcPr>
            <w:tcW w:w="2231" w:type="dxa"/>
            <w:tcBorders>
              <w:top w:val="nil"/>
              <w:left w:val="single" w:sz="4" w:space="0" w:color="auto"/>
              <w:bottom w:val="single" w:sz="4" w:space="0" w:color="auto"/>
              <w:right w:val="single" w:sz="4" w:space="0" w:color="auto"/>
            </w:tcBorders>
            <w:shd w:val="clear" w:color="auto" w:fill="auto"/>
            <w:noWrap/>
            <w:vAlign w:val="center"/>
            <w:hideMark/>
          </w:tcPr>
          <w:p w:rsidR="00026737" w:rsidRPr="00F97006" w:rsidRDefault="008A011B" w:rsidP="00026737">
            <w:pPr>
              <w:jc w:val="left"/>
              <w:rPr>
                <w:rFonts w:cs="Arial"/>
                <w:sz w:val="22"/>
                <w:szCs w:val="22"/>
              </w:rPr>
            </w:pPr>
            <w:r w:rsidRPr="00F97006">
              <w:rPr>
                <w:rFonts w:cs="Arial"/>
                <w:sz w:val="22"/>
                <w:szCs w:val="22"/>
              </w:rPr>
              <w:t>Other Schools Reserves</w:t>
            </w:r>
          </w:p>
        </w:tc>
        <w:tc>
          <w:tcPr>
            <w:tcW w:w="2232"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27.525</w:t>
            </w:r>
          </w:p>
        </w:tc>
        <w:tc>
          <w:tcPr>
            <w:tcW w:w="2231"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-6.612</w:t>
            </w:r>
          </w:p>
        </w:tc>
        <w:tc>
          <w:tcPr>
            <w:tcW w:w="2232" w:type="dxa"/>
            <w:tcBorders>
              <w:top w:val="nil"/>
              <w:left w:val="nil"/>
              <w:bottom w:val="single" w:sz="4" w:space="0" w:color="auto"/>
              <w:right w:val="single" w:sz="4" w:space="0" w:color="auto"/>
            </w:tcBorders>
            <w:shd w:val="clear" w:color="auto" w:fill="auto"/>
            <w:noWrap/>
            <w:vAlign w:val="center"/>
            <w:hideMark/>
          </w:tcPr>
          <w:p w:rsidR="00026737" w:rsidRPr="00F97006" w:rsidRDefault="008A011B" w:rsidP="00026737">
            <w:pPr>
              <w:ind w:right="674"/>
              <w:jc w:val="right"/>
              <w:rPr>
                <w:rFonts w:cs="Arial"/>
                <w:sz w:val="22"/>
                <w:szCs w:val="22"/>
              </w:rPr>
            </w:pPr>
            <w:r w:rsidRPr="00F97006">
              <w:rPr>
                <w:rFonts w:cs="Arial"/>
                <w:sz w:val="22"/>
                <w:szCs w:val="22"/>
              </w:rPr>
              <w:t>20.913</w:t>
            </w:r>
          </w:p>
        </w:tc>
      </w:tr>
    </w:tbl>
    <w:p w:rsidR="00026737" w:rsidRDefault="008A011B" w:rsidP="00026737">
      <w:r w:rsidRPr="00DB4BDA">
        <w:t>** The School Reserves are ring-fenced to schools and are used at schools' discretion.</w:t>
      </w:r>
    </w:p>
    <w:p w:rsidR="00026737" w:rsidRPr="00DB4BDA" w:rsidRDefault="00A953D6" w:rsidP="00026737">
      <w:pPr>
        <w:spacing w:after="0"/>
        <w:rPr>
          <w:rFonts w:eastAsiaTheme="minorHAnsi" w:cs="Arial"/>
          <w:b/>
          <w:bCs/>
        </w:rPr>
      </w:pPr>
    </w:p>
    <w:p w:rsidR="00026737" w:rsidRDefault="008A011B" w:rsidP="00026737">
      <w:pPr>
        <w:spacing w:after="0"/>
      </w:pPr>
      <w:r w:rsidRPr="00DB4BDA">
        <w:t>Under the Education Reform Act, schools are given most of their budgets to directly control. If a school does not spend its entire budget, it is held as a reserve for them to use in the future. These reserves cannot be used for any other purpose.</w:t>
      </w:r>
    </w:p>
    <w:p w:rsidR="00026737" w:rsidRDefault="008A011B" w:rsidP="00026737">
      <w:pPr>
        <w:spacing w:after="0"/>
        <w:rPr>
          <w:rFonts w:cs="Arial"/>
          <w:b/>
          <w:bCs/>
        </w:rPr>
      </w:pPr>
      <w:r>
        <w:rPr>
          <w:rFonts w:cs="Arial"/>
          <w:b/>
          <w:bCs/>
        </w:rPr>
        <w:br w:type="page"/>
      </w:r>
      <w:r w:rsidRPr="00F870C5">
        <w:rPr>
          <w:rFonts w:cs="Arial"/>
          <w:b/>
          <w:bCs/>
        </w:rPr>
        <w:lastRenderedPageBreak/>
        <w:t>Section B – The 2017/18 Capital Programme</w:t>
      </w:r>
    </w:p>
    <w:p w:rsidR="00026737" w:rsidRPr="00821BB5" w:rsidRDefault="00A953D6" w:rsidP="00026737">
      <w:pPr>
        <w:spacing w:after="0"/>
      </w:pPr>
    </w:p>
    <w:p w:rsidR="00026737" w:rsidRPr="006230B5" w:rsidRDefault="008A011B" w:rsidP="00026737">
      <w:pPr>
        <w:spacing w:after="0"/>
        <w:rPr>
          <w:b/>
        </w:rPr>
      </w:pPr>
      <w:r w:rsidRPr="006230B5">
        <w:rPr>
          <w:b/>
        </w:rPr>
        <w:t>Capital Programme Outturn 2017/18 Summary Table</w:t>
      </w:r>
    </w:p>
    <w:p w:rsidR="00026737" w:rsidRDefault="00A953D6" w:rsidP="00026737">
      <w:pPr>
        <w:autoSpaceDE/>
        <w:autoSpaceDN/>
        <w:adjustRightInd/>
        <w:spacing w:after="0"/>
        <w:rPr>
          <w:rFonts w:eastAsia="Times New Roman" w:cs="Arial"/>
          <w:sz w:val="32"/>
          <w:szCs w:val="32"/>
          <w:lang w:eastAsia="en-GB"/>
        </w:rPr>
      </w:pPr>
    </w:p>
    <w:p w:rsidR="00026737" w:rsidRDefault="008A011B" w:rsidP="00026737">
      <w:pPr>
        <w:spacing w:after="0"/>
        <w:rPr>
          <w:rFonts w:cs="Arial"/>
        </w:rPr>
      </w:pPr>
      <w:r w:rsidRPr="00735826">
        <w:rPr>
          <w:rFonts w:cs="Arial"/>
        </w:rPr>
        <w:t>The capital programme agreed at Feb</w:t>
      </w:r>
      <w:r>
        <w:rPr>
          <w:rFonts w:cs="Arial"/>
        </w:rPr>
        <w:t>ruary</w:t>
      </w:r>
      <w:r w:rsidRPr="00735826">
        <w:rPr>
          <w:rFonts w:cs="Arial"/>
        </w:rPr>
        <w:t xml:space="preserve"> </w:t>
      </w:r>
      <w:r>
        <w:rPr>
          <w:rFonts w:cs="Arial"/>
        </w:rPr>
        <w:t>20</w:t>
      </w:r>
      <w:r w:rsidRPr="00735826">
        <w:rPr>
          <w:rFonts w:cs="Arial"/>
        </w:rPr>
        <w:t xml:space="preserve">17 </w:t>
      </w:r>
      <w:r>
        <w:rPr>
          <w:rFonts w:cs="Arial"/>
        </w:rPr>
        <w:t xml:space="preserve">Full </w:t>
      </w:r>
      <w:r w:rsidRPr="00735826">
        <w:rPr>
          <w:rFonts w:cs="Arial"/>
        </w:rPr>
        <w:t xml:space="preserve">Council was </w:t>
      </w:r>
      <w:r>
        <w:rPr>
          <w:rFonts w:cs="Arial"/>
        </w:rPr>
        <w:t>a</w:t>
      </w:r>
      <w:r w:rsidRPr="00735826">
        <w:rPr>
          <w:rFonts w:cs="Arial"/>
        </w:rPr>
        <w:t xml:space="preserve"> programme of </w:t>
      </w:r>
      <w:r>
        <w:rPr>
          <w:rFonts w:cs="Arial"/>
        </w:rPr>
        <w:t>£126.182m, this included previous years' slippage of</w:t>
      </w:r>
      <w:r w:rsidRPr="00735826">
        <w:rPr>
          <w:rFonts w:cs="Arial"/>
        </w:rPr>
        <w:t xml:space="preserve"> £</w:t>
      </w:r>
      <w:r>
        <w:rPr>
          <w:rFonts w:cs="Arial"/>
        </w:rPr>
        <w:t>38.131m</w:t>
      </w:r>
      <w:r w:rsidRPr="00735826">
        <w:rPr>
          <w:rFonts w:cs="Arial"/>
        </w:rPr>
        <w:t xml:space="preserve">. In addition to this </w:t>
      </w:r>
      <w:r>
        <w:rPr>
          <w:rFonts w:cs="Arial"/>
        </w:rPr>
        <w:t>C</w:t>
      </w:r>
      <w:r w:rsidRPr="00735826">
        <w:rPr>
          <w:rFonts w:cs="Arial"/>
        </w:rPr>
        <w:t>abinet have approved £</w:t>
      </w:r>
      <w:r>
        <w:rPr>
          <w:rFonts w:cs="Arial"/>
        </w:rPr>
        <w:t>46.524m</w:t>
      </w:r>
      <w:r w:rsidRPr="00735826">
        <w:rPr>
          <w:rFonts w:cs="Arial"/>
        </w:rPr>
        <w:t xml:space="preserve"> additions to the programme and agreed re</w:t>
      </w:r>
      <w:r>
        <w:rPr>
          <w:rFonts w:cs="Arial"/>
        </w:rPr>
        <w:t>-</w:t>
      </w:r>
      <w:r w:rsidRPr="00735826">
        <w:rPr>
          <w:rFonts w:cs="Arial"/>
        </w:rPr>
        <w:t>profiling</w:t>
      </w:r>
      <w:r>
        <w:rPr>
          <w:rFonts w:cs="Arial"/>
        </w:rPr>
        <w:t xml:space="preserve"> of £0.798m, leading to a final capital delivery programme for 2017/18 of £171.908m. </w:t>
      </w:r>
    </w:p>
    <w:p w:rsidR="00026737" w:rsidRDefault="00A953D6" w:rsidP="00026737">
      <w:pPr>
        <w:spacing w:after="0"/>
        <w:rPr>
          <w:rFonts w:cs="Arial"/>
        </w:rPr>
      </w:pPr>
    </w:p>
    <w:p w:rsidR="00026737" w:rsidRPr="00735826" w:rsidRDefault="008A011B" w:rsidP="00026737">
      <w:pPr>
        <w:spacing w:after="0"/>
        <w:rPr>
          <w:rFonts w:cs="Arial"/>
        </w:rPr>
      </w:pPr>
      <w:r>
        <w:rPr>
          <w:rFonts w:cs="Arial"/>
        </w:rPr>
        <w:t>Table 1 shows that o</w:t>
      </w:r>
      <w:r w:rsidRPr="00735826">
        <w:rPr>
          <w:rFonts w:cs="Arial"/>
        </w:rPr>
        <w:t>f this delivery programme spend of £121.43</w:t>
      </w:r>
      <w:r>
        <w:rPr>
          <w:rFonts w:cs="Arial"/>
        </w:rPr>
        <w:t>4m</w:t>
      </w:r>
      <w:r w:rsidRPr="00735826">
        <w:rPr>
          <w:rFonts w:cs="Arial"/>
        </w:rPr>
        <w:t xml:space="preserve"> was achieved. This variance from expected delivery of £50.47</w:t>
      </w:r>
      <w:r>
        <w:rPr>
          <w:rFonts w:cs="Arial"/>
        </w:rPr>
        <w:t>4</w:t>
      </w:r>
      <w:r w:rsidRPr="00735826">
        <w:rPr>
          <w:rFonts w:cs="Arial"/>
        </w:rPr>
        <w:t>m represents 29% of the programme</w:t>
      </w:r>
      <w:r>
        <w:rPr>
          <w:rFonts w:cs="Arial"/>
        </w:rPr>
        <w:t xml:space="preserve">. </w:t>
      </w:r>
    </w:p>
    <w:p w:rsidR="00026737" w:rsidRDefault="00A953D6" w:rsidP="00026737">
      <w:pPr>
        <w:spacing w:after="0"/>
        <w:rPr>
          <w:rFonts w:cs="Arial"/>
        </w:rPr>
      </w:pPr>
    </w:p>
    <w:p w:rsidR="00026737" w:rsidRDefault="008A011B" w:rsidP="00026737">
      <w:pPr>
        <w:spacing w:after="0"/>
        <w:rPr>
          <w:rFonts w:cs="Arial"/>
        </w:rPr>
      </w:pPr>
      <w:r w:rsidRPr="00735826">
        <w:rPr>
          <w:rFonts w:cs="Arial"/>
        </w:rPr>
        <w:t xml:space="preserve">The outturn position for capital by block is shown below: </w:t>
      </w:r>
    </w:p>
    <w:p w:rsidR="00026737" w:rsidRDefault="00A953D6" w:rsidP="00026737">
      <w:pPr>
        <w:spacing w:after="0"/>
        <w:rPr>
          <w:rFonts w:cs="Arial"/>
        </w:rPr>
      </w:pPr>
    </w:p>
    <w:p w:rsidR="00026737" w:rsidRDefault="008A011B" w:rsidP="00026737">
      <w:pPr>
        <w:spacing w:after="0"/>
        <w:rPr>
          <w:rFonts w:cs="Arial"/>
        </w:rPr>
      </w:pPr>
      <w:r w:rsidRPr="00BD0ACE">
        <w:rPr>
          <w:rFonts w:cs="Arial"/>
          <w:b/>
        </w:rPr>
        <w:t xml:space="preserve">Table </w:t>
      </w:r>
      <w:r>
        <w:rPr>
          <w:rFonts w:cs="Arial"/>
          <w:b/>
        </w:rPr>
        <w:t>1: Outturn position 2017/</w:t>
      </w:r>
      <w:r w:rsidRPr="00BD0ACE">
        <w:rPr>
          <w:rFonts w:cs="Arial"/>
          <w:b/>
        </w:rPr>
        <w:t>18</w:t>
      </w:r>
      <w:r>
        <w:rPr>
          <w:rFonts w:cs="Arial"/>
        </w:rPr>
        <w:t xml:space="preserve"> </w:t>
      </w:r>
    </w:p>
    <w:p w:rsidR="00026737" w:rsidRDefault="00A953D6" w:rsidP="00026737">
      <w:pPr>
        <w:spacing w:after="0"/>
        <w:rPr>
          <w:rFonts w:cs="Arial"/>
        </w:rPr>
      </w:pPr>
    </w:p>
    <w:tbl>
      <w:tblPr>
        <w:tblW w:w="9067" w:type="dxa"/>
        <w:tblLook w:val="04A0" w:firstRow="1" w:lastRow="0" w:firstColumn="1" w:lastColumn="0" w:noHBand="0" w:noVBand="1"/>
      </w:tblPr>
      <w:tblGrid>
        <w:gridCol w:w="2636"/>
        <w:gridCol w:w="1470"/>
        <w:gridCol w:w="1559"/>
        <w:gridCol w:w="1701"/>
        <w:gridCol w:w="1701"/>
      </w:tblGrid>
      <w:tr w:rsidR="006D1BD3" w:rsidTr="00026737">
        <w:trPr>
          <w:trHeight w:val="340"/>
        </w:trPr>
        <w:tc>
          <w:tcPr>
            <w:tcW w:w="2636" w:type="dxa"/>
            <w:tcBorders>
              <w:top w:val="single" w:sz="4" w:space="0" w:color="auto"/>
              <w:left w:val="single" w:sz="4" w:space="0" w:color="auto"/>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Service Area</w:t>
            </w:r>
          </w:p>
        </w:tc>
        <w:tc>
          <w:tcPr>
            <w:tcW w:w="1470"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2017/18 Full Year Programme of Delivery</w:t>
            </w:r>
          </w:p>
        </w:tc>
        <w:tc>
          <w:tcPr>
            <w:tcW w:w="1559"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2017/18 Full Year Outturn</w:t>
            </w:r>
          </w:p>
        </w:tc>
        <w:tc>
          <w:tcPr>
            <w:tcW w:w="170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Actual Variance</w:t>
            </w:r>
          </w:p>
        </w:tc>
        <w:tc>
          <w:tcPr>
            <w:tcW w:w="1701" w:type="dxa"/>
            <w:tcBorders>
              <w:top w:val="single" w:sz="4" w:space="0" w:color="auto"/>
              <w:left w:val="nil"/>
              <w:bottom w:val="nil"/>
              <w:right w:val="single" w:sz="4" w:space="0" w:color="auto"/>
            </w:tcBorders>
            <w:shd w:val="clear" w:color="000000" w:fill="D9D9D9"/>
            <w:vAlign w:val="center"/>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Actual Variance as a Percentage of Delivery Programme</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w:t>
            </w:r>
          </w:p>
        </w:tc>
        <w:tc>
          <w:tcPr>
            <w:tcW w:w="1470"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559"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 xml:space="preserve"> £m </w:t>
            </w:r>
          </w:p>
        </w:tc>
        <w:tc>
          <w:tcPr>
            <w:tcW w:w="1701" w:type="dxa"/>
            <w:tcBorders>
              <w:top w:val="nil"/>
              <w:left w:val="nil"/>
              <w:bottom w:val="single" w:sz="4" w:space="0" w:color="auto"/>
              <w:right w:val="single" w:sz="4" w:space="0" w:color="auto"/>
            </w:tcBorders>
            <w:shd w:val="clear" w:color="000000" w:fill="D9D9D9"/>
            <w:vAlign w:val="bottom"/>
            <w:hideMark/>
          </w:tcPr>
          <w:p w:rsidR="00026737" w:rsidRPr="00F97006" w:rsidRDefault="008A011B" w:rsidP="00026737">
            <w:pPr>
              <w:autoSpaceDE/>
              <w:autoSpaceDN/>
              <w:adjustRightInd/>
              <w:spacing w:after="0"/>
              <w:jc w:val="center"/>
              <w:rPr>
                <w:rFonts w:eastAsia="Times New Roman" w:cs="Arial"/>
                <w:b/>
                <w:bCs/>
                <w:sz w:val="22"/>
                <w:szCs w:val="22"/>
                <w:lang w:eastAsia="en-GB"/>
              </w:rPr>
            </w:pPr>
            <w:r w:rsidRPr="00F97006">
              <w:rPr>
                <w:rFonts w:eastAsia="Times New Roman" w:cs="Arial"/>
                <w:b/>
                <w:bCs/>
                <w:sz w:val="22"/>
                <w:szCs w:val="22"/>
                <w:lang w:eastAsia="en-GB"/>
              </w:rPr>
              <w:t>%</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Schools (Excluding DFC)</w:t>
            </w:r>
          </w:p>
        </w:tc>
        <w:tc>
          <w:tcPr>
            <w:tcW w:w="1470"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28.159</w:t>
            </w:r>
          </w:p>
        </w:tc>
        <w:tc>
          <w:tcPr>
            <w:tcW w:w="1559"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21.266</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-6.893</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-24%</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000000" w:fill="FFFFFF"/>
            <w:vAlign w:val="center"/>
            <w:hideMark/>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Schools DFC</w:t>
            </w:r>
          </w:p>
        </w:tc>
        <w:tc>
          <w:tcPr>
            <w:tcW w:w="1470"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4.893</w:t>
            </w:r>
          </w:p>
        </w:tc>
        <w:tc>
          <w:tcPr>
            <w:tcW w:w="1559"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2.767</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-2.126</w:t>
            </w:r>
          </w:p>
        </w:tc>
        <w:tc>
          <w:tcPr>
            <w:tcW w:w="1701" w:type="dxa"/>
            <w:tcBorders>
              <w:top w:val="nil"/>
              <w:left w:val="nil"/>
              <w:bottom w:val="single" w:sz="4" w:space="0" w:color="auto"/>
              <w:right w:val="single" w:sz="4" w:space="0" w:color="auto"/>
            </w:tcBorders>
            <w:shd w:val="clear" w:color="000000" w:fill="FFFFFF"/>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-43%</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hideMark/>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Children &amp; Young People</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5.846</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7.984</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2.138</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37%</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Highways</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50.554</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42.204</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-8.350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-17%</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Transport</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38.194</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17.658</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-20.536</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-54%</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Waste &amp; Other</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6.435</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1.965</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-4.470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-69%</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Adult Social Care</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14.070</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12.675</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-1.395</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-10%</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Corporate</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20.977</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12.645</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-8.332</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-40%</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jc w:val="left"/>
              <w:rPr>
                <w:rFonts w:eastAsia="Times New Roman" w:cs="Arial"/>
                <w:bCs/>
                <w:color w:val="auto"/>
                <w:sz w:val="22"/>
                <w:szCs w:val="22"/>
                <w:lang w:eastAsia="en-GB"/>
              </w:rPr>
            </w:pPr>
            <w:r w:rsidRPr="00F97006">
              <w:rPr>
                <w:rFonts w:eastAsia="Times New Roman" w:cs="Arial"/>
                <w:bCs/>
                <w:color w:val="auto"/>
                <w:sz w:val="22"/>
                <w:szCs w:val="22"/>
                <w:lang w:eastAsia="en-GB"/>
              </w:rPr>
              <w:t>Vehicles</w:t>
            </w:r>
          </w:p>
        </w:tc>
        <w:tc>
          <w:tcPr>
            <w:tcW w:w="1470"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2.780</w:t>
            </w:r>
          </w:p>
        </w:tc>
        <w:tc>
          <w:tcPr>
            <w:tcW w:w="1559"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2.270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-0.510</w:t>
            </w:r>
          </w:p>
        </w:tc>
        <w:tc>
          <w:tcPr>
            <w:tcW w:w="1701" w:type="dxa"/>
            <w:tcBorders>
              <w:top w:val="nil"/>
              <w:left w:val="nil"/>
              <w:bottom w:val="single" w:sz="4" w:space="0" w:color="auto"/>
              <w:right w:val="single" w:sz="4" w:space="0" w:color="auto"/>
            </w:tcBorders>
            <w:shd w:val="clear" w:color="auto" w:fill="auto"/>
            <w:vAlign w:val="center"/>
          </w:tcPr>
          <w:p w:rsidR="00026737" w:rsidRPr="00F97006" w:rsidRDefault="008A011B" w:rsidP="00026737">
            <w:pPr>
              <w:autoSpaceDE/>
              <w:autoSpaceDN/>
              <w:adjustRightInd/>
              <w:spacing w:after="0"/>
              <w:ind w:right="317"/>
              <w:jc w:val="right"/>
              <w:rPr>
                <w:rFonts w:eastAsia="Times New Roman" w:cs="Arial"/>
                <w:sz w:val="22"/>
                <w:szCs w:val="22"/>
                <w:lang w:eastAsia="en-GB"/>
              </w:rPr>
            </w:pPr>
            <w:r w:rsidRPr="00F97006">
              <w:rPr>
                <w:rFonts w:eastAsia="Times New Roman" w:cs="Arial"/>
                <w:sz w:val="22"/>
                <w:szCs w:val="22"/>
                <w:lang w:eastAsia="en-GB"/>
              </w:rPr>
              <w:t>-18%</w:t>
            </w:r>
          </w:p>
        </w:tc>
      </w:tr>
      <w:tr w:rsidR="006D1BD3" w:rsidTr="00026737">
        <w:trPr>
          <w:trHeight w:val="340"/>
        </w:trPr>
        <w:tc>
          <w:tcPr>
            <w:tcW w:w="2636" w:type="dxa"/>
            <w:tcBorders>
              <w:top w:val="nil"/>
              <w:left w:val="single" w:sz="4" w:space="0" w:color="auto"/>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jc w:val="left"/>
              <w:rPr>
                <w:rFonts w:eastAsia="Times New Roman" w:cs="Arial"/>
                <w:b/>
                <w:bCs/>
                <w:sz w:val="22"/>
                <w:szCs w:val="22"/>
                <w:lang w:eastAsia="en-GB"/>
              </w:rPr>
            </w:pPr>
            <w:r w:rsidRPr="00F97006">
              <w:rPr>
                <w:rFonts w:eastAsia="Times New Roman" w:cs="Arial"/>
                <w:b/>
                <w:bCs/>
                <w:sz w:val="22"/>
                <w:szCs w:val="22"/>
                <w:lang w:eastAsia="en-GB"/>
              </w:rPr>
              <w:t>Total</w:t>
            </w:r>
          </w:p>
        </w:tc>
        <w:tc>
          <w:tcPr>
            <w:tcW w:w="1470" w:type="dxa"/>
            <w:tcBorders>
              <w:top w:val="nil"/>
              <w:left w:val="nil"/>
              <w:bottom w:val="single" w:sz="4" w:space="0" w:color="auto"/>
              <w:right w:val="single" w:sz="4" w:space="0" w:color="auto"/>
            </w:tcBorders>
            <w:shd w:val="clear" w:color="000000" w:fill="D9D9D9"/>
            <w:vAlign w:val="center"/>
          </w:tcPr>
          <w:p w:rsidR="00026737" w:rsidRPr="00F97006" w:rsidRDefault="008A011B" w:rsidP="00026737">
            <w:pPr>
              <w:autoSpaceDE/>
              <w:autoSpaceDN/>
              <w:adjustRightInd/>
              <w:spacing w:after="0"/>
              <w:ind w:right="317"/>
              <w:jc w:val="right"/>
              <w:rPr>
                <w:rFonts w:eastAsia="Times New Roman" w:cs="Arial"/>
                <w:b/>
                <w:bCs/>
                <w:sz w:val="22"/>
                <w:szCs w:val="22"/>
                <w:lang w:eastAsia="en-GB"/>
              </w:rPr>
            </w:pPr>
            <w:r w:rsidRPr="00F97006">
              <w:rPr>
                <w:rFonts w:eastAsia="Times New Roman" w:cs="Arial"/>
                <w:b/>
                <w:bCs/>
                <w:sz w:val="22"/>
                <w:szCs w:val="22"/>
                <w:lang w:eastAsia="en-GB"/>
              </w:rPr>
              <w:t>171.908</w:t>
            </w:r>
          </w:p>
        </w:tc>
        <w:tc>
          <w:tcPr>
            <w:tcW w:w="1559" w:type="dxa"/>
            <w:tcBorders>
              <w:top w:val="nil"/>
              <w:left w:val="nil"/>
              <w:bottom w:val="single" w:sz="4" w:space="0" w:color="auto"/>
              <w:right w:val="single" w:sz="4" w:space="0" w:color="auto"/>
            </w:tcBorders>
            <w:shd w:val="clear" w:color="000000" w:fill="D9D9D9"/>
            <w:vAlign w:val="center"/>
          </w:tcPr>
          <w:p w:rsidR="00026737" w:rsidRPr="00F97006" w:rsidRDefault="008A011B" w:rsidP="00026737">
            <w:pPr>
              <w:autoSpaceDE/>
              <w:autoSpaceDN/>
              <w:adjustRightInd/>
              <w:spacing w:after="0"/>
              <w:ind w:right="317"/>
              <w:jc w:val="right"/>
              <w:rPr>
                <w:rFonts w:eastAsia="Times New Roman" w:cs="Arial"/>
                <w:b/>
                <w:bCs/>
                <w:sz w:val="22"/>
                <w:szCs w:val="22"/>
                <w:lang w:eastAsia="en-GB"/>
              </w:rPr>
            </w:pPr>
            <w:r w:rsidRPr="00F97006">
              <w:rPr>
                <w:rFonts w:eastAsia="Times New Roman" w:cs="Arial"/>
                <w:b/>
                <w:bCs/>
                <w:sz w:val="22"/>
                <w:szCs w:val="22"/>
                <w:lang w:eastAsia="en-GB"/>
              </w:rPr>
              <w:t>121.434</w:t>
            </w:r>
          </w:p>
        </w:tc>
        <w:tc>
          <w:tcPr>
            <w:tcW w:w="170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317"/>
              <w:jc w:val="right"/>
              <w:rPr>
                <w:rFonts w:eastAsia="Times New Roman" w:cs="Arial"/>
                <w:b/>
                <w:bCs/>
                <w:sz w:val="22"/>
                <w:szCs w:val="22"/>
                <w:lang w:eastAsia="en-GB"/>
              </w:rPr>
            </w:pPr>
            <w:r w:rsidRPr="00F97006">
              <w:rPr>
                <w:rFonts w:eastAsia="Times New Roman" w:cs="Arial"/>
                <w:b/>
                <w:bCs/>
                <w:sz w:val="22"/>
                <w:szCs w:val="22"/>
                <w:lang w:eastAsia="en-GB"/>
              </w:rPr>
              <w:t>-50.474</w:t>
            </w:r>
          </w:p>
        </w:tc>
        <w:tc>
          <w:tcPr>
            <w:tcW w:w="1701" w:type="dxa"/>
            <w:tcBorders>
              <w:top w:val="nil"/>
              <w:left w:val="nil"/>
              <w:bottom w:val="single" w:sz="4" w:space="0" w:color="auto"/>
              <w:right w:val="single" w:sz="4" w:space="0" w:color="auto"/>
            </w:tcBorders>
            <w:shd w:val="clear" w:color="000000" w:fill="D9D9D9"/>
            <w:vAlign w:val="center"/>
            <w:hideMark/>
          </w:tcPr>
          <w:p w:rsidR="00026737" w:rsidRPr="00F97006" w:rsidRDefault="008A011B" w:rsidP="00026737">
            <w:pPr>
              <w:autoSpaceDE/>
              <w:autoSpaceDN/>
              <w:adjustRightInd/>
              <w:spacing w:after="0"/>
              <w:ind w:right="317"/>
              <w:jc w:val="right"/>
              <w:rPr>
                <w:rFonts w:eastAsia="Times New Roman" w:cs="Arial"/>
                <w:b/>
                <w:bCs/>
                <w:sz w:val="22"/>
                <w:szCs w:val="22"/>
                <w:lang w:eastAsia="en-GB"/>
              </w:rPr>
            </w:pPr>
            <w:r w:rsidRPr="00F97006">
              <w:rPr>
                <w:rFonts w:eastAsia="Times New Roman" w:cs="Arial"/>
                <w:b/>
                <w:bCs/>
                <w:sz w:val="22"/>
                <w:szCs w:val="22"/>
                <w:lang w:eastAsia="en-GB"/>
              </w:rPr>
              <w:t>-29%</w:t>
            </w:r>
          </w:p>
        </w:tc>
      </w:tr>
    </w:tbl>
    <w:p w:rsidR="00026737" w:rsidRDefault="00A953D6" w:rsidP="00026737">
      <w:pPr>
        <w:spacing w:after="0"/>
        <w:rPr>
          <w:rFonts w:cs="Arial"/>
        </w:rPr>
      </w:pPr>
    </w:p>
    <w:p w:rsidR="00026737" w:rsidRDefault="008A011B" w:rsidP="00026737">
      <w:pPr>
        <w:spacing w:after="0"/>
        <w:rPr>
          <w:rFonts w:cs="Arial"/>
        </w:rPr>
      </w:pPr>
      <w:r>
        <w:rPr>
          <w:rFonts w:cs="Arial"/>
        </w:rPr>
        <w:t xml:space="preserve">The variance to budget is summarised in Table 2, this splits the variance between </w:t>
      </w:r>
    </w:p>
    <w:p w:rsidR="00026737" w:rsidRPr="00CE02C6" w:rsidRDefault="008A011B" w:rsidP="00026737">
      <w:pPr>
        <w:pStyle w:val="ListParagraph"/>
        <w:numPr>
          <w:ilvl w:val="0"/>
          <w:numId w:val="42"/>
        </w:numPr>
        <w:spacing w:after="0"/>
        <w:rPr>
          <w:rFonts w:cs="Arial"/>
        </w:rPr>
      </w:pPr>
      <w:r>
        <w:rPr>
          <w:rFonts w:cs="Arial"/>
        </w:rPr>
        <w:t>Underspends</w:t>
      </w:r>
      <w:r w:rsidRPr="00CE02C6">
        <w:rPr>
          <w:rFonts w:cs="Arial"/>
        </w:rPr>
        <w:t xml:space="preserve"> on the delivery of completed projects. </w:t>
      </w:r>
    </w:p>
    <w:p w:rsidR="00026737" w:rsidRPr="00CE02C6" w:rsidRDefault="008A011B" w:rsidP="00026737">
      <w:pPr>
        <w:pStyle w:val="ListParagraph"/>
        <w:numPr>
          <w:ilvl w:val="0"/>
          <w:numId w:val="42"/>
        </w:numPr>
        <w:spacing w:after="0"/>
        <w:rPr>
          <w:rFonts w:cs="Arial"/>
        </w:rPr>
      </w:pPr>
      <w:r>
        <w:rPr>
          <w:rFonts w:cs="Arial"/>
        </w:rPr>
        <w:t>Overspends</w:t>
      </w:r>
      <w:r w:rsidRPr="00CE02C6">
        <w:rPr>
          <w:rFonts w:cs="Arial"/>
        </w:rPr>
        <w:t xml:space="preserve"> on completed projects</w:t>
      </w:r>
      <w:r>
        <w:rPr>
          <w:rFonts w:cs="Arial"/>
        </w:rPr>
        <w:t>.</w:t>
      </w:r>
      <w:r w:rsidRPr="00CE02C6">
        <w:rPr>
          <w:rFonts w:cs="Arial"/>
        </w:rPr>
        <w:t xml:space="preserve"> </w:t>
      </w:r>
    </w:p>
    <w:p w:rsidR="00026737" w:rsidRPr="00CE02C6" w:rsidRDefault="008A011B" w:rsidP="00026737">
      <w:pPr>
        <w:pStyle w:val="ListParagraph"/>
        <w:numPr>
          <w:ilvl w:val="0"/>
          <w:numId w:val="42"/>
        </w:numPr>
        <w:spacing w:after="0"/>
        <w:rPr>
          <w:rFonts w:cs="Arial"/>
        </w:rPr>
      </w:pPr>
      <w:r>
        <w:rPr>
          <w:rFonts w:cs="Arial"/>
        </w:rPr>
        <w:t xml:space="preserve">Slipped delivery </w:t>
      </w:r>
      <w:r w:rsidRPr="00CE02C6">
        <w:rPr>
          <w:rFonts w:cs="Arial"/>
        </w:rPr>
        <w:t>budgets where delivery has been delayed in</w:t>
      </w:r>
      <w:r>
        <w:rPr>
          <w:rFonts w:cs="Arial"/>
        </w:rPr>
        <w:t xml:space="preserve"> part or full to future years.</w:t>
      </w:r>
    </w:p>
    <w:p w:rsidR="00026737" w:rsidRPr="00CE02C6" w:rsidRDefault="008A011B" w:rsidP="00026737">
      <w:pPr>
        <w:pStyle w:val="ListParagraph"/>
        <w:numPr>
          <w:ilvl w:val="0"/>
          <w:numId w:val="42"/>
        </w:numPr>
        <w:spacing w:after="0"/>
        <w:rPr>
          <w:rFonts w:cs="Arial"/>
        </w:rPr>
      </w:pPr>
      <w:r>
        <w:rPr>
          <w:rFonts w:cs="Arial"/>
        </w:rPr>
        <w:t xml:space="preserve">Advanced Delivery </w:t>
      </w:r>
      <w:r w:rsidRPr="00CE02C6">
        <w:rPr>
          <w:rFonts w:cs="Arial"/>
        </w:rPr>
        <w:t xml:space="preserve">where </w:t>
      </w:r>
      <w:r>
        <w:rPr>
          <w:rFonts w:cs="Arial"/>
        </w:rPr>
        <w:t>expenditure</w:t>
      </w:r>
      <w:r w:rsidRPr="00CE02C6">
        <w:rPr>
          <w:rFonts w:cs="Arial"/>
        </w:rPr>
        <w:t xml:space="preserve"> on a project has been incurred this year where the budget is in part</w:t>
      </w:r>
      <w:r>
        <w:rPr>
          <w:rFonts w:cs="Arial"/>
        </w:rPr>
        <w:t>ly or</w:t>
      </w:r>
      <w:r w:rsidRPr="00CE02C6">
        <w:rPr>
          <w:rFonts w:cs="Arial"/>
        </w:rPr>
        <w:t xml:space="preserve"> full in a future year.</w:t>
      </w:r>
    </w:p>
    <w:p w:rsidR="00026737" w:rsidRPr="00CE02C6" w:rsidRDefault="008A011B" w:rsidP="00026737">
      <w:pPr>
        <w:pStyle w:val="ListParagraph"/>
        <w:numPr>
          <w:ilvl w:val="0"/>
          <w:numId w:val="42"/>
        </w:numPr>
        <w:spacing w:after="0"/>
        <w:rPr>
          <w:rFonts w:cs="Arial"/>
        </w:rPr>
      </w:pPr>
      <w:r w:rsidRPr="00CE02C6">
        <w:rPr>
          <w:rFonts w:cs="Arial"/>
        </w:rPr>
        <w:t>Unallocated budgets</w:t>
      </w:r>
      <w:r>
        <w:rPr>
          <w:rFonts w:cs="Arial"/>
        </w:rPr>
        <w:t xml:space="preserve"> which</w:t>
      </w:r>
      <w:r w:rsidRPr="00CE02C6">
        <w:rPr>
          <w:rFonts w:cs="Arial"/>
        </w:rPr>
        <w:t xml:space="preserve"> are contingency budgets or </w:t>
      </w:r>
      <w:r>
        <w:rPr>
          <w:rFonts w:cs="Arial"/>
        </w:rPr>
        <w:t>unallocated funds within the in-</w:t>
      </w:r>
      <w:r w:rsidRPr="00CE02C6">
        <w:rPr>
          <w:rFonts w:cs="Arial"/>
        </w:rPr>
        <w:t>year delivery programme that have not</w:t>
      </w:r>
      <w:r>
        <w:rPr>
          <w:rFonts w:cs="Arial"/>
        </w:rPr>
        <w:t xml:space="preserve"> yet</w:t>
      </w:r>
      <w:r w:rsidRPr="00CE02C6">
        <w:rPr>
          <w:rFonts w:cs="Arial"/>
        </w:rPr>
        <w:t xml:space="preserve"> been allocated to named projects and as such are available for potential carry forward to future years.  </w:t>
      </w:r>
    </w:p>
    <w:p w:rsidR="00026737" w:rsidRDefault="00A953D6" w:rsidP="00026737">
      <w:pPr>
        <w:spacing w:after="0"/>
        <w:rPr>
          <w:rFonts w:cs="Arial"/>
          <w:b/>
        </w:rPr>
      </w:pPr>
    </w:p>
    <w:p w:rsidR="00026737" w:rsidRDefault="00A953D6" w:rsidP="00026737">
      <w:pPr>
        <w:spacing w:after="0"/>
        <w:rPr>
          <w:rFonts w:cs="Arial"/>
          <w:b/>
        </w:rPr>
      </w:pPr>
    </w:p>
    <w:p w:rsidR="00026737" w:rsidRDefault="00A953D6" w:rsidP="00026737">
      <w:pPr>
        <w:spacing w:after="0"/>
        <w:rPr>
          <w:rFonts w:cs="Arial"/>
          <w:b/>
        </w:rPr>
      </w:pPr>
    </w:p>
    <w:p w:rsidR="00026737" w:rsidRDefault="00A953D6" w:rsidP="00026737">
      <w:pPr>
        <w:spacing w:after="0"/>
        <w:rPr>
          <w:rFonts w:cs="Arial"/>
          <w:b/>
        </w:rPr>
      </w:pPr>
    </w:p>
    <w:p w:rsidR="00026737" w:rsidRDefault="00A953D6" w:rsidP="00026737">
      <w:pPr>
        <w:spacing w:after="0"/>
        <w:rPr>
          <w:rFonts w:cs="Arial"/>
          <w:b/>
        </w:rPr>
      </w:pPr>
    </w:p>
    <w:p w:rsidR="00026737" w:rsidRDefault="00A953D6" w:rsidP="00026737">
      <w:pPr>
        <w:spacing w:after="0"/>
        <w:rPr>
          <w:rFonts w:cs="Arial"/>
          <w:b/>
        </w:rPr>
      </w:pPr>
    </w:p>
    <w:p w:rsidR="00026737" w:rsidRDefault="008A011B" w:rsidP="00026737">
      <w:pPr>
        <w:spacing w:after="0"/>
        <w:rPr>
          <w:rFonts w:cs="Arial"/>
          <w:b/>
        </w:rPr>
      </w:pPr>
      <w:r w:rsidRPr="00BD0ACE">
        <w:rPr>
          <w:rFonts w:cs="Arial"/>
          <w:b/>
        </w:rPr>
        <w:t xml:space="preserve">Table </w:t>
      </w:r>
      <w:r>
        <w:rPr>
          <w:rFonts w:cs="Arial"/>
          <w:b/>
        </w:rPr>
        <w:t>2</w:t>
      </w:r>
      <w:r w:rsidRPr="00BD0ACE">
        <w:rPr>
          <w:rFonts w:cs="Arial"/>
          <w:b/>
        </w:rPr>
        <w:t xml:space="preserve">: Breakdown of Variances </w:t>
      </w:r>
    </w:p>
    <w:p w:rsidR="00026737" w:rsidRDefault="00A953D6" w:rsidP="00026737">
      <w:pPr>
        <w:spacing w:after="0"/>
        <w:rPr>
          <w:rFonts w:cs="Arial"/>
          <w:b/>
        </w:rPr>
      </w:pPr>
    </w:p>
    <w:tbl>
      <w:tblPr>
        <w:tblStyle w:val="TableGrid"/>
        <w:tblW w:w="9209" w:type="dxa"/>
        <w:tblLook w:val="04A0" w:firstRow="1" w:lastRow="0" w:firstColumn="1" w:lastColumn="0" w:noHBand="0" w:noVBand="1"/>
      </w:tblPr>
      <w:tblGrid>
        <w:gridCol w:w="2263"/>
        <w:gridCol w:w="1134"/>
        <w:gridCol w:w="848"/>
        <w:gridCol w:w="970"/>
        <w:gridCol w:w="1017"/>
        <w:gridCol w:w="990"/>
        <w:gridCol w:w="995"/>
        <w:gridCol w:w="992"/>
      </w:tblGrid>
      <w:tr w:rsidR="006D1BD3" w:rsidTr="00026737">
        <w:trPr>
          <w:trHeight w:val="454"/>
        </w:trPr>
        <w:tc>
          <w:tcPr>
            <w:tcW w:w="2263" w:type="dxa"/>
            <w:vAlign w:val="center"/>
          </w:tcPr>
          <w:p w:rsidR="00026737" w:rsidRPr="008C6428" w:rsidRDefault="008A011B" w:rsidP="00026737">
            <w:pPr>
              <w:spacing w:after="0"/>
              <w:jc w:val="center"/>
              <w:rPr>
                <w:rFonts w:cs="Arial"/>
                <w:sz w:val="20"/>
                <w:szCs w:val="20"/>
              </w:rPr>
            </w:pPr>
            <w:r>
              <w:rPr>
                <w:rFonts w:cs="Arial"/>
                <w:sz w:val="20"/>
                <w:szCs w:val="20"/>
              </w:rPr>
              <w:t>Service Area</w:t>
            </w:r>
          </w:p>
        </w:tc>
        <w:tc>
          <w:tcPr>
            <w:tcW w:w="1134" w:type="dxa"/>
            <w:vAlign w:val="center"/>
          </w:tcPr>
          <w:p w:rsidR="00026737" w:rsidRPr="008C6428" w:rsidRDefault="008A011B" w:rsidP="00026737">
            <w:pPr>
              <w:spacing w:after="0"/>
              <w:jc w:val="center"/>
              <w:rPr>
                <w:rFonts w:cs="Arial"/>
                <w:sz w:val="20"/>
                <w:szCs w:val="20"/>
              </w:rPr>
            </w:pPr>
            <w:r w:rsidRPr="008C6428">
              <w:rPr>
                <w:rFonts w:cs="Arial"/>
                <w:sz w:val="20"/>
                <w:szCs w:val="20"/>
              </w:rPr>
              <w:t>Forecast Variance</w:t>
            </w:r>
          </w:p>
          <w:p w:rsidR="00026737" w:rsidRPr="008C6428" w:rsidRDefault="008A011B" w:rsidP="00026737">
            <w:pPr>
              <w:spacing w:after="0"/>
              <w:jc w:val="center"/>
              <w:rPr>
                <w:rFonts w:cs="Arial"/>
                <w:sz w:val="20"/>
                <w:szCs w:val="20"/>
              </w:rPr>
            </w:pPr>
            <w:r w:rsidRPr="008C6428">
              <w:rPr>
                <w:rFonts w:cs="Arial"/>
                <w:sz w:val="20"/>
                <w:szCs w:val="20"/>
              </w:rPr>
              <w:t>£</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Under-spend</w:t>
            </w:r>
          </w:p>
        </w:tc>
        <w:tc>
          <w:tcPr>
            <w:tcW w:w="970" w:type="dxa"/>
            <w:vAlign w:val="center"/>
          </w:tcPr>
          <w:p w:rsidR="00026737" w:rsidRDefault="008A011B" w:rsidP="00026737">
            <w:pPr>
              <w:spacing w:after="0"/>
              <w:jc w:val="center"/>
              <w:rPr>
                <w:rFonts w:cs="Arial"/>
                <w:sz w:val="20"/>
                <w:szCs w:val="20"/>
              </w:rPr>
            </w:pPr>
            <w:r>
              <w:rPr>
                <w:rFonts w:cs="Arial"/>
                <w:sz w:val="20"/>
                <w:szCs w:val="20"/>
              </w:rPr>
              <w:t>Over-spends</w:t>
            </w:r>
          </w:p>
          <w:p w:rsidR="00026737" w:rsidRPr="008C6428" w:rsidRDefault="008A011B" w:rsidP="00026737">
            <w:pPr>
              <w:spacing w:after="0"/>
              <w:jc w:val="center"/>
              <w:rPr>
                <w:rFonts w:cs="Arial"/>
                <w:sz w:val="20"/>
                <w:szCs w:val="20"/>
              </w:rPr>
            </w:pPr>
            <w:r>
              <w:rPr>
                <w:rFonts w:cs="Arial"/>
                <w:sz w:val="20"/>
                <w:szCs w:val="20"/>
              </w:rPr>
              <w:t>£</w:t>
            </w:r>
          </w:p>
        </w:tc>
        <w:tc>
          <w:tcPr>
            <w:tcW w:w="1017" w:type="dxa"/>
            <w:vAlign w:val="center"/>
          </w:tcPr>
          <w:p w:rsidR="00026737" w:rsidRDefault="008A011B" w:rsidP="00026737">
            <w:pPr>
              <w:spacing w:after="0"/>
              <w:jc w:val="center"/>
              <w:rPr>
                <w:rFonts w:cs="Arial"/>
                <w:sz w:val="20"/>
                <w:szCs w:val="20"/>
              </w:rPr>
            </w:pPr>
            <w:r>
              <w:rPr>
                <w:rFonts w:cs="Arial"/>
                <w:sz w:val="20"/>
                <w:szCs w:val="20"/>
              </w:rPr>
              <w:t>Revenue Capital-isation</w:t>
            </w:r>
          </w:p>
          <w:p w:rsidR="00026737" w:rsidRPr="008C6428" w:rsidRDefault="008A011B" w:rsidP="00026737">
            <w:pPr>
              <w:spacing w:after="0"/>
              <w:jc w:val="center"/>
              <w:rPr>
                <w:rFonts w:cs="Arial"/>
                <w:sz w:val="20"/>
                <w:szCs w:val="20"/>
              </w:rPr>
            </w:pPr>
            <w:r>
              <w:rPr>
                <w:rFonts w:cs="Arial"/>
                <w:sz w:val="20"/>
                <w:szCs w:val="20"/>
              </w:rPr>
              <w:t>£</w:t>
            </w:r>
          </w:p>
        </w:tc>
        <w:tc>
          <w:tcPr>
            <w:tcW w:w="990" w:type="dxa"/>
            <w:vAlign w:val="center"/>
          </w:tcPr>
          <w:p w:rsidR="00026737" w:rsidRDefault="008A011B" w:rsidP="00026737">
            <w:pPr>
              <w:spacing w:after="0"/>
              <w:jc w:val="center"/>
              <w:rPr>
                <w:rFonts w:cs="Arial"/>
                <w:sz w:val="20"/>
                <w:szCs w:val="20"/>
              </w:rPr>
            </w:pPr>
            <w:r>
              <w:rPr>
                <w:rFonts w:cs="Arial"/>
                <w:sz w:val="20"/>
                <w:szCs w:val="20"/>
              </w:rPr>
              <w:t>Slipped Delivery</w:t>
            </w:r>
          </w:p>
          <w:p w:rsidR="00026737" w:rsidRPr="008C6428" w:rsidRDefault="008A011B" w:rsidP="00026737">
            <w:pPr>
              <w:spacing w:after="0"/>
              <w:jc w:val="center"/>
              <w:rPr>
                <w:rFonts w:cs="Arial"/>
                <w:sz w:val="20"/>
                <w:szCs w:val="20"/>
              </w:rPr>
            </w:pPr>
            <w:r>
              <w:rPr>
                <w:rFonts w:cs="Arial"/>
                <w:sz w:val="20"/>
                <w:szCs w:val="20"/>
              </w:rPr>
              <w:t>£</w:t>
            </w:r>
          </w:p>
        </w:tc>
        <w:tc>
          <w:tcPr>
            <w:tcW w:w="995" w:type="dxa"/>
            <w:vAlign w:val="center"/>
          </w:tcPr>
          <w:p w:rsidR="00026737" w:rsidRDefault="008A011B" w:rsidP="00026737">
            <w:pPr>
              <w:spacing w:after="0"/>
              <w:jc w:val="center"/>
              <w:rPr>
                <w:rFonts w:cs="Arial"/>
                <w:sz w:val="20"/>
                <w:szCs w:val="20"/>
              </w:rPr>
            </w:pPr>
            <w:r>
              <w:rPr>
                <w:rFonts w:cs="Arial"/>
                <w:sz w:val="20"/>
                <w:szCs w:val="20"/>
              </w:rPr>
              <w:t>Advance Delivery</w:t>
            </w:r>
          </w:p>
          <w:p w:rsidR="00026737" w:rsidRPr="008C6428" w:rsidRDefault="008A011B" w:rsidP="00026737">
            <w:pPr>
              <w:spacing w:after="0"/>
              <w:jc w:val="center"/>
              <w:rPr>
                <w:rFonts w:cs="Arial"/>
                <w:sz w:val="20"/>
                <w:szCs w:val="20"/>
              </w:rPr>
            </w:pPr>
            <w:r>
              <w:rPr>
                <w:rFonts w:cs="Arial"/>
                <w:sz w:val="20"/>
                <w:szCs w:val="20"/>
              </w:rPr>
              <w:t>£</w:t>
            </w:r>
          </w:p>
        </w:tc>
        <w:tc>
          <w:tcPr>
            <w:tcW w:w="992" w:type="dxa"/>
            <w:vAlign w:val="center"/>
          </w:tcPr>
          <w:p w:rsidR="00026737" w:rsidRDefault="008A011B" w:rsidP="00026737">
            <w:pPr>
              <w:spacing w:after="0"/>
              <w:jc w:val="center"/>
              <w:rPr>
                <w:rFonts w:cs="Arial"/>
                <w:sz w:val="20"/>
                <w:szCs w:val="20"/>
              </w:rPr>
            </w:pPr>
            <w:r>
              <w:rPr>
                <w:rFonts w:cs="Arial"/>
                <w:sz w:val="20"/>
                <w:szCs w:val="20"/>
              </w:rPr>
              <w:t>Unalloc-ated</w:t>
            </w:r>
          </w:p>
          <w:p w:rsidR="00026737" w:rsidRPr="008C6428" w:rsidRDefault="008A011B" w:rsidP="00026737">
            <w:pPr>
              <w:spacing w:after="0"/>
              <w:jc w:val="center"/>
              <w:rPr>
                <w:rFonts w:cs="Arial"/>
                <w:sz w:val="20"/>
                <w:szCs w:val="20"/>
              </w:rPr>
            </w:pPr>
            <w:r>
              <w:rPr>
                <w:rFonts w:cs="Arial"/>
                <w:sz w:val="20"/>
                <w:szCs w:val="20"/>
              </w:rPr>
              <w:t>£</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Schools (inc DFC)</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-9.019</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-1.588</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0.797</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-7.179</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0.659</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-1.709</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Children and Young People</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2.138</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-0.143</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0.122</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-0.296</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4.000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-1.545</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Highways</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-8.350</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-1.343</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1017"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6.673</w:t>
            </w: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-13.680</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Transport</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-20.536</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0.000</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-15.914</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-4.622</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Waste and Other</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-4.470</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-2.791</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-1.632</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-0.047</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Adults Social Care</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-1.395</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0.000</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-1.037</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-0.358</w:t>
            </w:r>
          </w:p>
        </w:tc>
      </w:tr>
      <w:tr w:rsidR="006D1BD3" w:rsidTr="00026737">
        <w:trPr>
          <w:trHeight w:val="454"/>
        </w:trPr>
        <w:tc>
          <w:tcPr>
            <w:tcW w:w="2263" w:type="dxa"/>
            <w:vAlign w:val="center"/>
          </w:tcPr>
          <w:p w:rsidR="00026737" w:rsidRPr="008C6428" w:rsidRDefault="008A011B" w:rsidP="00026737">
            <w:pPr>
              <w:spacing w:after="0"/>
              <w:jc w:val="left"/>
              <w:rPr>
                <w:rFonts w:cs="Arial"/>
                <w:sz w:val="20"/>
                <w:szCs w:val="20"/>
              </w:rPr>
            </w:pPr>
            <w:r>
              <w:rPr>
                <w:rFonts w:cs="Arial"/>
                <w:sz w:val="20"/>
                <w:szCs w:val="20"/>
              </w:rPr>
              <w:t>Corporate</w:t>
            </w:r>
          </w:p>
        </w:tc>
        <w:tc>
          <w:tcPr>
            <w:tcW w:w="1134"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-8.332</w:t>
            </w:r>
          </w:p>
        </w:tc>
        <w:tc>
          <w:tcPr>
            <w:tcW w:w="848" w:type="dxa"/>
            <w:vAlign w:val="center"/>
          </w:tcPr>
          <w:p w:rsidR="00026737" w:rsidRPr="008C6428" w:rsidRDefault="008A011B" w:rsidP="00026737">
            <w:pPr>
              <w:spacing w:after="0"/>
              <w:jc w:val="center"/>
              <w:rPr>
                <w:rFonts w:cs="Arial"/>
                <w:sz w:val="20"/>
                <w:szCs w:val="20"/>
              </w:rPr>
            </w:pPr>
            <w:r>
              <w:rPr>
                <w:rFonts w:cs="Arial"/>
                <w:sz w:val="20"/>
                <w:szCs w:val="20"/>
              </w:rPr>
              <w:t>0.000</w:t>
            </w:r>
          </w:p>
        </w:tc>
        <w:tc>
          <w:tcPr>
            <w:tcW w:w="97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0.500</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-7.063</w:t>
            </w:r>
          </w:p>
        </w:tc>
        <w:tc>
          <w:tcPr>
            <w:tcW w:w="995"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-1.769</w:t>
            </w:r>
          </w:p>
        </w:tc>
      </w:tr>
      <w:tr w:rsidR="006D1BD3" w:rsidTr="00026737">
        <w:trPr>
          <w:trHeight w:val="454"/>
        </w:trPr>
        <w:tc>
          <w:tcPr>
            <w:tcW w:w="2263" w:type="dxa"/>
            <w:vAlign w:val="center"/>
          </w:tcPr>
          <w:p w:rsidR="00026737" w:rsidRDefault="008A011B" w:rsidP="00026737">
            <w:pPr>
              <w:spacing w:after="0"/>
              <w:jc w:val="left"/>
              <w:rPr>
                <w:rFonts w:cs="Arial"/>
                <w:sz w:val="20"/>
                <w:szCs w:val="20"/>
              </w:rPr>
            </w:pPr>
            <w:r>
              <w:rPr>
                <w:rFonts w:cs="Arial"/>
                <w:sz w:val="20"/>
                <w:szCs w:val="20"/>
              </w:rPr>
              <w:t>Vehicles</w:t>
            </w:r>
          </w:p>
        </w:tc>
        <w:tc>
          <w:tcPr>
            <w:tcW w:w="1134" w:type="dxa"/>
            <w:vAlign w:val="center"/>
          </w:tcPr>
          <w:p w:rsidR="00026737" w:rsidRDefault="008A011B" w:rsidP="00026737">
            <w:pPr>
              <w:tabs>
                <w:tab w:val="decimal" w:pos="364"/>
              </w:tabs>
              <w:spacing w:after="0"/>
              <w:jc w:val="center"/>
              <w:rPr>
                <w:rFonts w:cs="Arial"/>
                <w:sz w:val="20"/>
                <w:szCs w:val="20"/>
              </w:rPr>
            </w:pPr>
            <w:r>
              <w:rPr>
                <w:rFonts w:cs="Arial"/>
                <w:sz w:val="20"/>
                <w:szCs w:val="20"/>
              </w:rPr>
              <w:t>-0.510</w:t>
            </w:r>
          </w:p>
        </w:tc>
        <w:tc>
          <w:tcPr>
            <w:tcW w:w="848" w:type="dxa"/>
            <w:vAlign w:val="center"/>
          </w:tcPr>
          <w:p w:rsidR="00026737" w:rsidRDefault="008A011B" w:rsidP="00026737">
            <w:pPr>
              <w:spacing w:after="0"/>
              <w:jc w:val="center"/>
              <w:rPr>
                <w:rFonts w:cs="Arial"/>
                <w:sz w:val="20"/>
                <w:szCs w:val="20"/>
              </w:rPr>
            </w:pPr>
            <w:r>
              <w:rPr>
                <w:rFonts w:cs="Arial"/>
                <w:sz w:val="20"/>
                <w:szCs w:val="20"/>
              </w:rPr>
              <w:t>0.000</w:t>
            </w:r>
          </w:p>
        </w:tc>
        <w:tc>
          <w:tcPr>
            <w:tcW w:w="970" w:type="dxa"/>
            <w:vAlign w:val="center"/>
          </w:tcPr>
          <w:p w:rsidR="00026737" w:rsidRDefault="008A011B" w:rsidP="00026737">
            <w:pPr>
              <w:tabs>
                <w:tab w:val="decimal" w:pos="364"/>
              </w:tabs>
              <w:spacing w:after="0"/>
              <w:jc w:val="center"/>
              <w:rPr>
                <w:rFonts w:cs="Arial"/>
                <w:sz w:val="20"/>
                <w:szCs w:val="20"/>
              </w:rPr>
            </w:pPr>
            <w:r>
              <w:rPr>
                <w:rFonts w:cs="Arial"/>
                <w:sz w:val="20"/>
                <w:szCs w:val="20"/>
              </w:rPr>
              <w:t>0.000</w:t>
            </w: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Default="008A011B" w:rsidP="00026737">
            <w:pPr>
              <w:tabs>
                <w:tab w:val="decimal" w:pos="364"/>
              </w:tabs>
              <w:spacing w:after="0"/>
              <w:jc w:val="center"/>
              <w:rPr>
                <w:rFonts w:cs="Arial"/>
                <w:sz w:val="20"/>
                <w:szCs w:val="20"/>
              </w:rPr>
            </w:pPr>
            <w:r>
              <w:rPr>
                <w:rFonts w:cs="Arial"/>
                <w:sz w:val="20"/>
                <w:szCs w:val="20"/>
              </w:rPr>
              <w:t>-0.510</w:t>
            </w:r>
          </w:p>
        </w:tc>
        <w:tc>
          <w:tcPr>
            <w:tcW w:w="995" w:type="dxa"/>
            <w:vAlign w:val="center"/>
          </w:tcPr>
          <w:p w:rsidR="00026737" w:rsidRDefault="008A011B" w:rsidP="00026737">
            <w:pPr>
              <w:tabs>
                <w:tab w:val="decimal" w:pos="364"/>
              </w:tabs>
              <w:spacing w:after="0"/>
              <w:jc w:val="center"/>
              <w:rPr>
                <w:rFonts w:cs="Arial"/>
                <w:sz w:val="20"/>
                <w:szCs w:val="20"/>
              </w:rPr>
            </w:pPr>
            <w:r>
              <w:rPr>
                <w:rFonts w:cs="Arial"/>
                <w:sz w:val="20"/>
                <w:szCs w:val="20"/>
              </w:rPr>
              <w:t>0.000</w:t>
            </w:r>
          </w:p>
        </w:tc>
        <w:tc>
          <w:tcPr>
            <w:tcW w:w="992" w:type="dxa"/>
            <w:vAlign w:val="center"/>
          </w:tcPr>
          <w:p w:rsidR="00026737" w:rsidRDefault="008A011B" w:rsidP="00026737">
            <w:pPr>
              <w:tabs>
                <w:tab w:val="decimal" w:pos="364"/>
              </w:tabs>
              <w:spacing w:after="0"/>
              <w:jc w:val="center"/>
              <w:rPr>
                <w:rFonts w:cs="Arial"/>
                <w:sz w:val="20"/>
                <w:szCs w:val="20"/>
              </w:rPr>
            </w:pPr>
            <w:r>
              <w:rPr>
                <w:rFonts w:cs="Arial"/>
                <w:sz w:val="20"/>
                <w:szCs w:val="20"/>
              </w:rPr>
              <w:t>0.000</w:t>
            </w:r>
          </w:p>
        </w:tc>
      </w:tr>
      <w:tr w:rsidR="006D1BD3" w:rsidTr="00026737">
        <w:trPr>
          <w:trHeight w:val="454"/>
        </w:trPr>
        <w:tc>
          <w:tcPr>
            <w:tcW w:w="2263" w:type="dxa"/>
            <w:vAlign w:val="center"/>
          </w:tcPr>
          <w:p w:rsidR="00026737" w:rsidRDefault="00A953D6" w:rsidP="00026737">
            <w:pPr>
              <w:spacing w:after="0"/>
              <w:jc w:val="left"/>
              <w:rPr>
                <w:rFonts w:cs="Arial"/>
                <w:sz w:val="20"/>
                <w:szCs w:val="20"/>
              </w:rPr>
            </w:pPr>
          </w:p>
        </w:tc>
        <w:tc>
          <w:tcPr>
            <w:tcW w:w="1134" w:type="dxa"/>
            <w:vAlign w:val="center"/>
          </w:tcPr>
          <w:p w:rsidR="00026737" w:rsidRDefault="00A953D6" w:rsidP="00026737">
            <w:pPr>
              <w:tabs>
                <w:tab w:val="decimal" w:pos="364"/>
              </w:tabs>
              <w:spacing w:after="0"/>
              <w:jc w:val="center"/>
              <w:rPr>
                <w:rFonts w:cs="Arial"/>
                <w:sz w:val="20"/>
                <w:szCs w:val="20"/>
              </w:rPr>
            </w:pPr>
          </w:p>
        </w:tc>
        <w:tc>
          <w:tcPr>
            <w:tcW w:w="848" w:type="dxa"/>
            <w:vAlign w:val="center"/>
          </w:tcPr>
          <w:p w:rsidR="00026737" w:rsidRDefault="00A953D6" w:rsidP="00026737">
            <w:pPr>
              <w:spacing w:after="0"/>
              <w:jc w:val="center"/>
              <w:rPr>
                <w:rFonts w:cs="Arial"/>
                <w:sz w:val="20"/>
                <w:szCs w:val="20"/>
              </w:rPr>
            </w:pPr>
          </w:p>
        </w:tc>
        <w:tc>
          <w:tcPr>
            <w:tcW w:w="970" w:type="dxa"/>
            <w:vAlign w:val="center"/>
          </w:tcPr>
          <w:p w:rsidR="00026737" w:rsidRDefault="00A953D6" w:rsidP="00026737">
            <w:pPr>
              <w:tabs>
                <w:tab w:val="decimal" w:pos="364"/>
              </w:tabs>
              <w:spacing w:after="0"/>
              <w:jc w:val="center"/>
              <w:rPr>
                <w:rFonts w:cs="Arial"/>
                <w:sz w:val="20"/>
                <w:szCs w:val="20"/>
              </w:rPr>
            </w:pPr>
          </w:p>
        </w:tc>
        <w:tc>
          <w:tcPr>
            <w:tcW w:w="1017" w:type="dxa"/>
            <w:vAlign w:val="center"/>
          </w:tcPr>
          <w:p w:rsidR="00026737" w:rsidRPr="008C6428" w:rsidRDefault="00A953D6" w:rsidP="00026737">
            <w:pPr>
              <w:tabs>
                <w:tab w:val="decimal" w:pos="364"/>
              </w:tabs>
              <w:spacing w:after="0"/>
              <w:jc w:val="center"/>
              <w:rPr>
                <w:rFonts w:cs="Arial"/>
                <w:sz w:val="20"/>
                <w:szCs w:val="20"/>
              </w:rPr>
            </w:pPr>
          </w:p>
        </w:tc>
        <w:tc>
          <w:tcPr>
            <w:tcW w:w="990" w:type="dxa"/>
            <w:vAlign w:val="center"/>
          </w:tcPr>
          <w:p w:rsidR="00026737" w:rsidRDefault="00A953D6" w:rsidP="00026737">
            <w:pPr>
              <w:tabs>
                <w:tab w:val="decimal" w:pos="364"/>
              </w:tabs>
              <w:spacing w:after="0"/>
              <w:jc w:val="center"/>
              <w:rPr>
                <w:rFonts w:cs="Arial"/>
                <w:sz w:val="20"/>
                <w:szCs w:val="20"/>
              </w:rPr>
            </w:pPr>
          </w:p>
        </w:tc>
        <w:tc>
          <w:tcPr>
            <w:tcW w:w="995" w:type="dxa"/>
            <w:vAlign w:val="center"/>
          </w:tcPr>
          <w:p w:rsidR="00026737" w:rsidRDefault="00A953D6" w:rsidP="00026737">
            <w:pPr>
              <w:tabs>
                <w:tab w:val="decimal" w:pos="364"/>
              </w:tabs>
              <w:spacing w:after="0"/>
              <w:jc w:val="center"/>
              <w:rPr>
                <w:rFonts w:cs="Arial"/>
                <w:sz w:val="20"/>
                <w:szCs w:val="20"/>
              </w:rPr>
            </w:pPr>
          </w:p>
        </w:tc>
        <w:tc>
          <w:tcPr>
            <w:tcW w:w="992" w:type="dxa"/>
            <w:vAlign w:val="center"/>
          </w:tcPr>
          <w:p w:rsidR="00026737" w:rsidRDefault="00A953D6" w:rsidP="00026737">
            <w:pPr>
              <w:tabs>
                <w:tab w:val="decimal" w:pos="364"/>
              </w:tabs>
              <w:spacing w:after="0"/>
              <w:jc w:val="center"/>
              <w:rPr>
                <w:rFonts w:cs="Arial"/>
                <w:sz w:val="20"/>
                <w:szCs w:val="20"/>
              </w:rPr>
            </w:pPr>
          </w:p>
        </w:tc>
      </w:tr>
      <w:tr w:rsidR="006D1BD3" w:rsidTr="00026737">
        <w:trPr>
          <w:trHeight w:val="454"/>
        </w:trPr>
        <w:tc>
          <w:tcPr>
            <w:tcW w:w="2263" w:type="dxa"/>
            <w:vAlign w:val="center"/>
          </w:tcPr>
          <w:p w:rsidR="00026737" w:rsidRPr="00AA5698" w:rsidRDefault="008A011B" w:rsidP="00026737">
            <w:pPr>
              <w:spacing w:after="0"/>
              <w:jc w:val="left"/>
              <w:rPr>
                <w:rFonts w:cs="Arial"/>
                <w:b/>
                <w:sz w:val="20"/>
                <w:szCs w:val="20"/>
              </w:rPr>
            </w:pPr>
            <w:r>
              <w:rPr>
                <w:rFonts w:cs="Arial"/>
                <w:b/>
                <w:sz w:val="20"/>
                <w:szCs w:val="20"/>
              </w:rPr>
              <w:t>Totals</w:t>
            </w:r>
          </w:p>
        </w:tc>
        <w:tc>
          <w:tcPr>
            <w:tcW w:w="1134" w:type="dxa"/>
            <w:vAlign w:val="center"/>
          </w:tcPr>
          <w:p w:rsidR="00026737" w:rsidRDefault="008A011B" w:rsidP="00026737">
            <w:pPr>
              <w:tabs>
                <w:tab w:val="decimal" w:pos="364"/>
              </w:tabs>
              <w:spacing w:after="0"/>
              <w:jc w:val="center"/>
              <w:rPr>
                <w:rFonts w:cs="Arial"/>
                <w:sz w:val="20"/>
                <w:szCs w:val="20"/>
              </w:rPr>
            </w:pPr>
            <w:r>
              <w:rPr>
                <w:rFonts w:cs="Arial"/>
                <w:sz w:val="20"/>
                <w:szCs w:val="20"/>
              </w:rPr>
              <w:t>-50.474</w:t>
            </w:r>
          </w:p>
        </w:tc>
        <w:tc>
          <w:tcPr>
            <w:tcW w:w="848" w:type="dxa"/>
            <w:vAlign w:val="center"/>
          </w:tcPr>
          <w:p w:rsidR="00026737" w:rsidRDefault="008A011B" w:rsidP="00026737">
            <w:pPr>
              <w:spacing w:after="0"/>
              <w:jc w:val="center"/>
              <w:rPr>
                <w:rFonts w:cs="Arial"/>
                <w:sz w:val="20"/>
                <w:szCs w:val="20"/>
              </w:rPr>
            </w:pPr>
            <w:r>
              <w:rPr>
                <w:rFonts w:cs="Arial"/>
                <w:sz w:val="20"/>
                <w:szCs w:val="20"/>
              </w:rPr>
              <w:t>-5.865</w:t>
            </w:r>
          </w:p>
        </w:tc>
        <w:tc>
          <w:tcPr>
            <w:tcW w:w="970" w:type="dxa"/>
            <w:vAlign w:val="center"/>
          </w:tcPr>
          <w:p w:rsidR="00026737" w:rsidRDefault="008A011B" w:rsidP="00026737">
            <w:pPr>
              <w:tabs>
                <w:tab w:val="decimal" w:pos="364"/>
              </w:tabs>
              <w:spacing w:after="0"/>
              <w:jc w:val="center"/>
              <w:rPr>
                <w:rFonts w:cs="Arial"/>
                <w:sz w:val="20"/>
                <w:szCs w:val="20"/>
              </w:rPr>
            </w:pPr>
            <w:r>
              <w:rPr>
                <w:rFonts w:cs="Arial"/>
                <w:sz w:val="20"/>
                <w:szCs w:val="20"/>
              </w:rPr>
              <w:t>1.419</w:t>
            </w:r>
          </w:p>
        </w:tc>
        <w:tc>
          <w:tcPr>
            <w:tcW w:w="1017" w:type="dxa"/>
            <w:vAlign w:val="center"/>
          </w:tcPr>
          <w:p w:rsidR="00026737" w:rsidRPr="008C6428" w:rsidRDefault="008A011B" w:rsidP="00026737">
            <w:pPr>
              <w:tabs>
                <w:tab w:val="decimal" w:pos="364"/>
              </w:tabs>
              <w:spacing w:after="0"/>
              <w:jc w:val="center"/>
              <w:rPr>
                <w:rFonts w:cs="Arial"/>
                <w:sz w:val="20"/>
                <w:szCs w:val="20"/>
              </w:rPr>
            </w:pPr>
            <w:r>
              <w:rPr>
                <w:rFonts w:cs="Arial"/>
                <w:sz w:val="20"/>
                <w:szCs w:val="20"/>
              </w:rPr>
              <w:t>6.673</w:t>
            </w:r>
          </w:p>
        </w:tc>
        <w:tc>
          <w:tcPr>
            <w:tcW w:w="990" w:type="dxa"/>
            <w:vAlign w:val="center"/>
          </w:tcPr>
          <w:p w:rsidR="00026737" w:rsidRDefault="008A011B" w:rsidP="00026737">
            <w:pPr>
              <w:tabs>
                <w:tab w:val="decimal" w:pos="364"/>
              </w:tabs>
              <w:spacing w:after="0"/>
              <w:jc w:val="center"/>
              <w:rPr>
                <w:rFonts w:cs="Arial"/>
                <w:sz w:val="20"/>
                <w:szCs w:val="20"/>
              </w:rPr>
            </w:pPr>
            <w:r>
              <w:rPr>
                <w:rFonts w:cs="Arial"/>
                <w:sz w:val="20"/>
                <w:szCs w:val="20"/>
              </w:rPr>
              <w:t>-47.312</w:t>
            </w:r>
          </w:p>
        </w:tc>
        <w:tc>
          <w:tcPr>
            <w:tcW w:w="995" w:type="dxa"/>
            <w:vAlign w:val="center"/>
          </w:tcPr>
          <w:p w:rsidR="00026737" w:rsidRDefault="008A011B" w:rsidP="00026737">
            <w:pPr>
              <w:tabs>
                <w:tab w:val="decimal" w:pos="364"/>
              </w:tabs>
              <w:spacing w:after="0"/>
              <w:jc w:val="center"/>
              <w:rPr>
                <w:rFonts w:cs="Arial"/>
                <w:sz w:val="20"/>
                <w:szCs w:val="20"/>
              </w:rPr>
            </w:pPr>
            <w:r>
              <w:rPr>
                <w:rFonts w:cs="Arial"/>
                <w:sz w:val="20"/>
                <w:szCs w:val="20"/>
              </w:rPr>
              <w:t>4.659</w:t>
            </w:r>
          </w:p>
        </w:tc>
        <w:tc>
          <w:tcPr>
            <w:tcW w:w="992" w:type="dxa"/>
            <w:vAlign w:val="center"/>
          </w:tcPr>
          <w:p w:rsidR="00026737" w:rsidRDefault="008A011B" w:rsidP="00026737">
            <w:pPr>
              <w:tabs>
                <w:tab w:val="decimal" w:pos="364"/>
              </w:tabs>
              <w:spacing w:after="0"/>
              <w:jc w:val="center"/>
              <w:rPr>
                <w:rFonts w:cs="Arial"/>
                <w:sz w:val="20"/>
                <w:szCs w:val="20"/>
              </w:rPr>
            </w:pPr>
            <w:r>
              <w:rPr>
                <w:rFonts w:cs="Arial"/>
                <w:sz w:val="20"/>
                <w:szCs w:val="20"/>
              </w:rPr>
              <w:t>-10.050</w:t>
            </w:r>
          </w:p>
        </w:tc>
      </w:tr>
      <w:tr w:rsidR="006D1BD3" w:rsidTr="00026737">
        <w:trPr>
          <w:trHeight w:val="454"/>
        </w:trPr>
        <w:tc>
          <w:tcPr>
            <w:tcW w:w="2263" w:type="dxa"/>
            <w:vAlign w:val="center"/>
          </w:tcPr>
          <w:p w:rsidR="007D1757" w:rsidRDefault="008A011B" w:rsidP="00026737">
            <w:pPr>
              <w:spacing w:after="0"/>
              <w:jc w:val="left"/>
              <w:rPr>
                <w:rFonts w:cs="Arial"/>
                <w:b/>
                <w:sz w:val="20"/>
                <w:szCs w:val="20"/>
              </w:rPr>
            </w:pPr>
            <w:r>
              <w:rPr>
                <w:rFonts w:cs="Arial"/>
                <w:b/>
                <w:sz w:val="20"/>
                <w:szCs w:val="20"/>
              </w:rPr>
              <w:t>Total (%)</w:t>
            </w:r>
          </w:p>
        </w:tc>
        <w:tc>
          <w:tcPr>
            <w:tcW w:w="1134" w:type="dxa"/>
            <w:vAlign w:val="center"/>
          </w:tcPr>
          <w:p w:rsidR="007D1757" w:rsidRDefault="00A953D6" w:rsidP="00026737">
            <w:pPr>
              <w:tabs>
                <w:tab w:val="decimal" w:pos="364"/>
              </w:tabs>
              <w:spacing w:after="0"/>
              <w:jc w:val="center"/>
              <w:rPr>
                <w:rFonts w:cs="Arial"/>
                <w:sz w:val="20"/>
                <w:szCs w:val="20"/>
              </w:rPr>
            </w:pPr>
          </w:p>
        </w:tc>
        <w:tc>
          <w:tcPr>
            <w:tcW w:w="848" w:type="dxa"/>
            <w:vAlign w:val="center"/>
          </w:tcPr>
          <w:p w:rsidR="007D1757" w:rsidRDefault="008A011B" w:rsidP="00026737">
            <w:pPr>
              <w:spacing w:after="0"/>
              <w:jc w:val="center"/>
              <w:rPr>
                <w:rFonts w:cs="Arial"/>
                <w:sz w:val="20"/>
                <w:szCs w:val="20"/>
              </w:rPr>
            </w:pPr>
            <w:r>
              <w:rPr>
                <w:rFonts w:cs="Arial"/>
                <w:sz w:val="20"/>
                <w:szCs w:val="20"/>
              </w:rPr>
              <w:t>-11%</w:t>
            </w:r>
          </w:p>
        </w:tc>
        <w:tc>
          <w:tcPr>
            <w:tcW w:w="970" w:type="dxa"/>
            <w:vAlign w:val="center"/>
          </w:tcPr>
          <w:p w:rsidR="007D1757" w:rsidRDefault="008A011B" w:rsidP="00026737">
            <w:pPr>
              <w:tabs>
                <w:tab w:val="decimal" w:pos="364"/>
              </w:tabs>
              <w:spacing w:after="0"/>
              <w:jc w:val="center"/>
              <w:rPr>
                <w:rFonts w:cs="Arial"/>
                <w:sz w:val="20"/>
                <w:szCs w:val="20"/>
              </w:rPr>
            </w:pPr>
            <w:r>
              <w:rPr>
                <w:rFonts w:cs="Arial"/>
                <w:sz w:val="20"/>
                <w:szCs w:val="20"/>
              </w:rPr>
              <w:t>3%</w:t>
            </w:r>
          </w:p>
        </w:tc>
        <w:tc>
          <w:tcPr>
            <w:tcW w:w="1017" w:type="dxa"/>
            <w:vAlign w:val="center"/>
          </w:tcPr>
          <w:p w:rsidR="007D1757" w:rsidRDefault="008A011B" w:rsidP="007D1757">
            <w:pPr>
              <w:tabs>
                <w:tab w:val="decimal" w:pos="364"/>
              </w:tabs>
              <w:spacing w:after="0"/>
              <w:jc w:val="center"/>
              <w:rPr>
                <w:rFonts w:cs="Arial"/>
                <w:sz w:val="20"/>
                <w:szCs w:val="20"/>
              </w:rPr>
            </w:pPr>
            <w:r>
              <w:rPr>
                <w:rFonts w:cs="Arial"/>
                <w:sz w:val="20"/>
                <w:szCs w:val="20"/>
              </w:rPr>
              <w:t>13%</w:t>
            </w:r>
          </w:p>
        </w:tc>
        <w:tc>
          <w:tcPr>
            <w:tcW w:w="990" w:type="dxa"/>
            <w:vAlign w:val="center"/>
          </w:tcPr>
          <w:p w:rsidR="007D1757" w:rsidRDefault="008A011B" w:rsidP="00026737">
            <w:pPr>
              <w:tabs>
                <w:tab w:val="decimal" w:pos="364"/>
              </w:tabs>
              <w:spacing w:after="0"/>
              <w:jc w:val="center"/>
              <w:rPr>
                <w:rFonts w:cs="Arial"/>
                <w:sz w:val="20"/>
                <w:szCs w:val="20"/>
              </w:rPr>
            </w:pPr>
            <w:r>
              <w:rPr>
                <w:rFonts w:cs="Arial"/>
                <w:sz w:val="20"/>
                <w:szCs w:val="20"/>
              </w:rPr>
              <w:t>-94%</w:t>
            </w:r>
          </w:p>
        </w:tc>
        <w:tc>
          <w:tcPr>
            <w:tcW w:w="995" w:type="dxa"/>
            <w:vAlign w:val="center"/>
          </w:tcPr>
          <w:p w:rsidR="007D1757" w:rsidRDefault="008A011B" w:rsidP="00026737">
            <w:pPr>
              <w:tabs>
                <w:tab w:val="decimal" w:pos="364"/>
              </w:tabs>
              <w:spacing w:after="0"/>
              <w:jc w:val="center"/>
              <w:rPr>
                <w:rFonts w:cs="Arial"/>
                <w:sz w:val="20"/>
                <w:szCs w:val="20"/>
              </w:rPr>
            </w:pPr>
            <w:r>
              <w:rPr>
                <w:rFonts w:cs="Arial"/>
                <w:sz w:val="20"/>
                <w:szCs w:val="20"/>
              </w:rPr>
              <w:t>9%</w:t>
            </w:r>
          </w:p>
        </w:tc>
        <w:tc>
          <w:tcPr>
            <w:tcW w:w="992" w:type="dxa"/>
            <w:vAlign w:val="center"/>
          </w:tcPr>
          <w:p w:rsidR="007D1757" w:rsidRDefault="008A011B" w:rsidP="00026737">
            <w:pPr>
              <w:tabs>
                <w:tab w:val="decimal" w:pos="364"/>
              </w:tabs>
              <w:spacing w:after="0"/>
              <w:jc w:val="center"/>
              <w:rPr>
                <w:rFonts w:cs="Arial"/>
                <w:sz w:val="20"/>
                <w:szCs w:val="20"/>
              </w:rPr>
            </w:pPr>
            <w:r>
              <w:rPr>
                <w:rFonts w:cs="Arial"/>
                <w:sz w:val="20"/>
                <w:szCs w:val="20"/>
              </w:rPr>
              <w:t>-20%</w:t>
            </w:r>
          </w:p>
        </w:tc>
      </w:tr>
    </w:tbl>
    <w:p w:rsidR="00026737" w:rsidRDefault="00A953D6" w:rsidP="00026737">
      <w:pPr>
        <w:spacing w:after="0"/>
        <w:rPr>
          <w:rFonts w:cs="Arial"/>
        </w:rPr>
      </w:pPr>
    </w:p>
    <w:p w:rsidR="007D1757" w:rsidRDefault="008A011B" w:rsidP="007D1757">
      <w:pPr>
        <w:tabs>
          <w:tab w:val="left" w:pos="851"/>
          <w:tab w:val="left" w:pos="1418"/>
        </w:tabs>
        <w:spacing w:after="0"/>
        <w:rPr>
          <w:rFonts w:eastAsia="Times New Roman" w:cs="Arial"/>
          <w:lang w:eastAsia="en-GB"/>
        </w:rPr>
      </w:pPr>
      <w:r w:rsidRPr="00B442FF">
        <w:rPr>
          <w:rFonts w:eastAsia="Times New Roman" w:cs="Arial"/>
          <w:lang w:eastAsia="en-GB"/>
        </w:rPr>
        <w:t xml:space="preserve">The slipped delivery </w:t>
      </w:r>
      <w:r w:rsidRPr="007D1757">
        <w:rPr>
          <w:rFonts w:eastAsia="Times New Roman" w:cs="Arial"/>
          <w:lang w:eastAsia="en-GB"/>
        </w:rPr>
        <w:t>is a mixture of financial delays</w:t>
      </w:r>
      <w:r>
        <w:rPr>
          <w:rFonts w:eastAsia="Times New Roman" w:cs="Arial"/>
          <w:lang w:eastAsia="en-GB"/>
        </w:rPr>
        <w:t xml:space="preserve">, </w:t>
      </w:r>
      <w:r w:rsidRPr="007D1757">
        <w:rPr>
          <w:rFonts w:eastAsia="Times New Roman" w:cs="Arial"/>
          <w:lang w:eastAsia="en-GB"/>
        </w:rPr>
        <w:t>e</w:t>
      </w:r>
      <w:r>
        <w:rPr>
          <w:rFonts w:eastAsia="Times New Roman" w:cs="Arial"/>
          <w:lang w:eastAsia="en-GB"/>
        </w:rPr>
        <w:t xml:space="preserve">.g. </w:t>
      </w:r>
      <w:r w:rsidRPr="007D1757">
        <w:rPr>
          <w:rFonts w:eastAsia="Times New Roman" w:cs="Arial"/>
          <w:lang w:eastAsia="en-GB"/>
        </w:rPr>
        <w:t xml:space="preserve">for retention amounts, but where the project is </w:t>
      </w:r>
      <w:r w:rsidRPr="00B442FF">
        <w:rPr>
          <w:rFonts w:eastAsia="Times New Roman" w:cs="Arial"/>
          <w:lang w:eastAsia="en-GB"/>
        </w:rPr>
        <w:t>complete</w:t>
      </w:r>
      <w:r>
        <w:rPr>
          <w:rFonts w:eastAsia="Times New Roman" w:cs="Arial"/>
          <w:lang w:eastAsia="en-GB"/>
        </w:rPr>
        <w:t xml:space="preserve">, delays due to changes to the work programmed and delays due to adverse weather which delayed completion or commencement of projects. </w:t>
      </w:r>
      <w:r w:rsidRPr="00E04076">
        <w:rPr>
          <w:rFonts w:eastAsia="Times New Roman" w:cs="Arial"/>
          <w:lang w:eastAsia="en-GB"/>
        </w:rPr>
        <w:t xml:space="preserve"> </w:t>
      </w:r>
    </w:p>
    <w:p w:rsidR="00026737" w:rsidRDefault="008A011B" w:rsidP="00026737">
      <w:pPr>
        <w:spacing w:after="0"/>
        <w:rPr>
          <w:rFonts w:cs="Arial"/>
        </w:rPr>
      </w:pPr>
      <w:r>
        <w:rPr>
          <w:rFonts w:cs="Arial"/>
        </w:rPr>
        <w:t xml:space="preserve">  </w:t>
      </w:r>
    </w:p>
    <w:p w:rsidR="00B442FF" w:rsidRPr="00B2550F" w:rsidRDefault="008A011B" w:rsidP="00026737">
      <w:pPr>
        <w:spacing w:after="0"/>
        <w:rPr>
          <w:rFonts w:eastAsia="Times New Roman" w:cs="Arial"/>
          <w:b/>
          <w:lang w:eastAsia="en-GB"/>
        </w:rPr>
      </w:pPr>
      <w:r w:rsidRPr="005B5D95">
        <w:rPr>
          <w:rFonts w:eastAsia="Times New Roman" w:cs="Arial"/>
          <w:b/>
          <w:lang w:eastAsia="en-GB"/>
        </w:rPr>
        <w:t xml:space="preserve">Capital Programme next steps: </w:t>
      </w:r>
    </w:p>
    <w:p w:rsidR="007D1757" w:rsidRDefault="008A011B" w:rsidP="007D1757">
      <w:pPr>
        <w:spacing w:after="0"/>
        <w:rPr>
          <w:rFonts w:eastAsia="Times New Roman" w:cs="Arial"/>
          <w:lang w:eastAsia="en-GB"/>
        </w:rPr>
      </w:pPr>
      <w:r>
        <w:rPr>
          <w:rFonts w:eastAsia="Times New Roman" w:cs="Arial"/>
          <w:lang w:eastAsia="en-GB"/>
        </w:rPr>
        <w:t xml:space="preserve">During the first 3 months of 2018-19 a comprehensive review of the delivery programme for 2018-19 will be undertaken by </w:t>
      </w:r>
      <w:r w:rsidRPr="00790708">
        <w:rPr>
          <w:rFonts w:eastAsia="Times New Roman" w:cs="Arial"/>
          <w:lang w:eastAsia="en-GB"/>
        </w:rPr>
        <w:t xml:space="preserve">Capital Board.  </w:t>
      </w:r>
      <w:r>
        <w:rPr>
          <w:rFonts w:eastAsia="Times New Roman" w:cs="Arial"/>
          <w:lang w:eastAsia="en-GB"/>
        </w:rPr>
        <w:t>The work undertaken will be as follows:</w:t>
      </w:r>
    </w:p>
    <w:p w:rsidR="007D1757" w:rsidRDefault="00A953D6" w:rsidP="00026737">
      <w:pPr>
        <w:spacing w:after="0"/>
        <w:rPr>
          <w:rFonts w:eastAsia="Times New Roman" w:cs="Arial"/>
          <w:lang w:eastAsia="en-GB"/>
        </w:rPr>
      </w:pPr>
    </w:p>
    <w:p w:rsidR="00790708" w:rsidRDefault="008A011B" w:rsidP="00790708">
      <w:pPr>
        <w:pStyle w:val="ListParagraph"/>
        <w:numPr>
          <w:ilvl w:val="0"/>
          <w:numId w:val="48"/>
        </w:numPr>
        <w:spacing w:after="0"/>
        <w:rPr>
          <w:rFonts w:eastAsia="Times New Roman" w:cs="Arial"/>
          <w:lang w:eastAsia="en-GB"/>
        </w:rPr>
      </w:pPr>
      <w:r>
        <w:rPr>
          <w:rFonts w:eastAsia="Times New Roman" w:cs="Arial"/>
          <w:lang w:eastAsia="en-GB"/>
        </w:rPr>
        <w:t xml:space="preserve">Updating the delivery programme for 2018/19 in light of the delivery performance in 2017/18. </w:t>
      </w:r>
    </w:p>
    <w:p w:rsidR="00790708" w:rsidRDefault="008A011B" w:rsidP="00790708">
      <w:pPr>
        <w:pStyle w:val="ListParagraph"/>
        <w:numPr>
          <w:ilvl w:val="0"/>
          <w:numId w:val="48"/>
        </w:numPr>
        <w:spacing w:after="0"/>
        <w:rPr>
          <w:rFonts w:eastAsia="Times New Roman" w:cs="Arial"/>
          <w:lang w:eastAsia="en-GB"/>
        </w:rPr>
      </w:pPr>
      <w:r>
        <w:rPr>
          <w:rFonts w:eastAsia="Times New Roman" w:cs="Arial"/>
          <w:lang w:eastAsia="en-GB"/>
        </w:rPr>
        <w:t xml:space="preserve">A review of the level of funding available for unallocated budgets and the requirement for these to be continued to be carried forward. </w:t>
      </w:r>
    </w:p>
    <w:p w:rsidR="00790708" w:rsidRDefault="008A011B" w:rsidP="00790708">
      <w:pPr>
        <w:pStyle w:val="ListParagraph"/>
        <w:numPr>
          <w:ilvl w:val="0"/>
          <w:numId w:val="48"/>
        </w:numPr>
        <w:spacing w:after="0"/>
        <w:rPr>
          <w:rFonts w:eastAsia="Times New Roman" w:cs="Arial"/>
          <w:lang w:eastAsia="en-GB"/>
        </w:rPr>
      </w:pPr>
      <w:r>
        <w:rPr>
          <w:rFonts w:eastAsia="Times New Roman" w:cs="Arial"/>
          <w:lang w:eastAsia="en-GB"/>
        </w:rPr>
        <w:t xml:space="preserve">Detailed monitoring of the delivery programme through 2018/19 to ensure slippage is reported in a timely manner and a robust level of challenge to both programme and portfolio managers by Capital Board to ensure delivery remains on track through the year. </w:t>
      </w:r>
    </w:p>
    <w:p w:rsidR="00790708" w:rsidRPr="00227C8A" w:rsidRDefault="008A011B" w:rsidP="00790708">
      <w:pPr>
        <w:pStyle w:val="ListParagraph"/>
        <w:numPr>
          <w:ilvl w:val="0"/>
          <w:numId w:val="48"/>
        </w:numPr>
        <w:spacing w:after="0"/>
        <w:rPr>
          <w:rFonts w:eastAsia="Times New Roman" w:cs="Arial"/>
          <w:lang w:eastAsia="en-GB"/>
        </w:rPr>
      </w:pPr>
      <w:r>
        <w:rPr>
          <w:rFonts w:eastAsia="Times New Roman" w:cs="Arial"/>
          <w:lang w:eastAsia="en-GB"/>
        </w:rPr>
        <w:t xml:space="preserve">A suite of performance reports will be developed for the Capital Board to undertake this monitoring oversight and challenge.  </w:t>
      </w:r>
    </w:p>
    <w:p w:rsidR="00026737" w:rsidRDefault="00A953D6" w:rsidP="00026737">
      <w:pPr>
        <w:spacing w:after="0"/>
        <w:rPr>
          <w:rFonts w:eastAsia="Times New Roman" w:cs="Arial"/>
          <w:b/>
          <w:lang w:eastAsia="en-GB"/>
        </w:rPr>
      </w:pPr>
    </w:p>
    <w:p w:rsidR="00790708" w:rsidRDefault="00A953D6" w:rsidP="00026737">
      <w:pPr>
        <w:spacing w:after="0"/>
        <w:rPr>
          <w:rFonts w:eastAsia="Times New Roman" w:cs="Arial"/>
          <w:b/>
          <w:lang w:eastAsia="en-GB"/>
        </w:rPr>
      </w:pPr>
    </w:p>
    <w:p w:rsidR="00790708" w:rsidRDefault="00A953D6" w:rsidP="00026737">
      <w:pPr>
        <w:spacing w:after="0"/>
        <w:rPr>
          <w:rFonts w:eastAsia="Times New Roman" w:cs="Arial"/>
          <w:b/>
          <w:lang w:eastAsia="en-GB"/>
        </w:rPr>
      </w:pPr>
    </w:p>
    <w:p w:rsidR="00790708" w:rsidRDefault="00A953D6" w:rsidP="00026737">
      <w:pPr>
        <w:spacing w:after="0"/>
        <w:rPr>
          <w:rFonts w:eastAsia="Times New Roman" w:cs="Arial"/>
          <w:b/>
          <w:lang w:eastAsia="en-GB"/>
        </w:rPr>
      </w:pPr>
    </w:p>
    <w:p w:rsidR="00790708" w:rsidRDefault="00A953D6" w:rsidP="00026737">
      <w:pPr>
        <w:spacing w:after="0"/>
        <w:rPr>
          <w:rFonts w:eastAsia="Times New Roman" w:cs="Arial"/>
          <w:b/>
          <w:lang w:eastAsia="en-GB"/>
        </w:rPr>
      </w:pPr>
    </w:p>
    <w:p w:rsidR="00790708" w:rsidRDefault="00A953D6" w:rsidP="00026737">
      <w:pPr>
        <w:spacing w:after="0"/>
        <w:rPr>
          <w:rFonts w:eastAsia="Times New Roman" w:cs="Arial"/>
          <w:b/>
          <w:lang w:eastAsia="en-GB"/>
        </w:rPr>
      </w:pPr>
    </w:p>
    <w:p w:rsidR="00026737" w:rsidRDefault="00A953D6" w:rsidP="00026737">
      <w:pPr>
        <w:autoSpaceDE/>
        <w:autoSpaceDN/>
        <w:adjustRightInd/>
        <w:spacing w:after="0"/>
        <w:jc w:val="left"/>
        <w:rPr>
          <w:rFonts w:eastAsia="Times New Roman" w:cs="Arial"/>
          <w:b/>
          <w:lang w:eastAsia="en-GB"/>
        </w:rPr>
      </w:pPr>
    </w:p>
    <w:p w:rsidR="00026737" w:rsidRPr="006230B5" w:rsidRDefault="008A011B" w:rsidP="00026737">
      <w:pPr>
        <w:autoSpaceDE/>
        <w:autoSpaceDN/>
        <w:adjustRightInd/>
        <w:spacing w:after="0"/>
        <w:jc w:val="left"/>
        <w:rPr>
          <w:rFonts w:cs="Arial"/>
          <w:b/>
        </w:rPr>
      </w:pPr>
      <w:r>
        <w:rPr>
          <w:rFonts w:eastAsia="Times New Roman" w:cs="Arial"/>
          <w:b/>
          <w:lang w:eastAsia="en-GB"/>
        </w:rPr>
        <w:lastRenderedPageBreak/>
        <w:t xml:space="preserve">4. </w:t>
      </w:r>
      <w:r w:rsidRPr="006230B5">
        <w:rPr>
          <w:rFonts w:eastAsia="Times New Roman" w:cs="Arial"/>
          <w:b/>
          <w:lang w:eastAsia="en-GB"/>
        </w:rPr>
        <w:t>Capital Programme Outturn Detailed Analysis</w:t>
      </w:r>
      <w:r w:rsidRPr="006230B5">
        <w:rPr>
          <w:rFonts w:cs="Arial"/>
          <w:b/>
        </w:rPr>
        <w:t xml:space="preserve"> </w:t>
      </w:r>
    </w:p>
    <w:p w:rsidR="00026737" w:rsidRPr="00735826" w:rsidRDefault="00A953D6" w:rsidP="00026737">
      <w:pPr>
        <w:spacing w:after="0"/>
        <w:rPr>
          <w:rFonts w:cs="Arial"/>
        </w:rPr>
      </w:pPr>
    </w:p>
    <w:p w:rsidR="00026737" w:rsidRPr="00735826" w:rsidRDefault="008A011B" w:rsidP="00026737">
      <w:pPr>
        <w:spacing w:after="0"/>
        <w:rPr>
          <w:rFonts w:cs="Arial"/>
        </w:rPr>
      </w:pPr>
      <w:r w:rsidRPr="00735826">
        <w:rPr>
          <w:rFonts w:cs="Arial"/>
        </w:rPr>
        <w:t>The outturn variances by block from the budget for delivery in 2017/18 are as follows:</w:t>
      </w:r>
    </w:p>
    <w:p w:rsidR="00026737" w:rsidRPr="00735826" w:rsidRDefault="008A011B" w:rsidP="00026737">
      <w:pPr>
        <w:spacing w:after="0"/>
        <w:rPr>
          <w:rFonts w:cs="Arial"/>
        </w:rPr>
      </w:pPr>
      <w:r w:rsidRPr="00735826">
        <w:rPr>
          <w:rFonts w:cs="Arial"/>
        </w:rPr>
        <w:t xml:space="preserve"> </w:t>
      </w:r>
    </w:p>
    <w:p w:rsidR="00026737" w:rsidRDefault="008A011B" w:rsidP="00026737">
      <w:pPr>
        <w:spacing w:after="0"/>
        <w:rPr>
          <w:rFonts w:cs="Arial"/>
          <w:b/>
          <w:u w:val="single"/>
        </w:rPr>
      </w:pPr>
      <w:r>
        <w:rPr>
          <w:rFonts w:cs="Arial"/>
          <w:b/>
          <w:u w:val="single"/>
        </w:rPr>
        <w:t xml:space="preserve">4.1 </w:t>
      </w:r>
      <w:r w:rsidRPr="00735826">
        <w:rPr>
          <w:rFonts w:cs="Arial"/>
          <w:b/>
          <w:u w:val="single"/>
        </w:rPr>
        <w:t>Schools &amp; Schools DFC</w:t>
      </w:r>
    </w:p>
    <w:p w:rsidR="00026737" w:rsidRDefault="00A953D6" w:rsidP="00026737">
      <w:pPr>
        <w:spacing w:after="0"/>
        <w:rPr>
          <w:rFonts w:cs="Arial"/>
          <w:b/>
          <w:u w:val="single"/>
        </w:rPr>
      </w:pPr>
    </w:p>
    <w:p w:rsidR="00026737" w:rsidRDefault="008A011B" w:rsidP="00026737">
      <w:pPr>
        <w:autoSpaceDE/>
        <w:autoSpaceDN/>
        <w:adjustRightInd/>
        <w:spacing w:after="0" w:line="259" w:lineRule="auto"/>
        <w:jc w:val="left"/>
        <w:rPr>
          <w:rFonts w:eastAsiaTheme="minorHAnsi" w:cs="Arial"/>
          <w:b/>
          <w:bCs/>
          <w:i/>
          <w:color w:val="auto"/>
        </w:rPr>
      </w:pPr>
      <w:r w:rsidRPr="0094754F">
        <w:rPr>
          <w:rFonts w:eastAsiaTheme="minorHAnsi" w:cs="Arial"/>
          <w:b/>
          <w:bCs/>
          <w:i/>
          <w:color w:val="auto"/>
        </w:rPr>
        <w:t>Basic Need Programme</w:t>
      </w:r>
    </w:p>
    <w:p w:rsidR="00026737" w:rsidRPr="0094754F" w:rsidRDefault="00A953D6" w:rsidP="00026737">
      <w:pPr>
        <w:autoSpaceDE/>
        <w:autoSpaceDN/>
        <w:adjustRightInd/>
        <w:spacing w:after="0" w:line="259" w:lineRule="auto"/>
        <w:jc w:val="left"/>
        <w:rPr>
          <w:rFonts w:eastAsiaTheme="minorHAnsi" w:cs="Arial"/>
          <w:b/>
          <w:bCs/>
          <w:i/>
          <w:color w:val="auto"/>
        </w:rPr>
      </w:pPr>
    </w:p>
    <w:p w:rsidR="00026737" w:rsidRPr="00A10ADB" w:rsidRDefault="008A011B" w:rsidP="00026737">
      <w:pPr>
        <w:autoSpaceDE/>
        <w:autoSpaceDN/>
        <w:adjustRightInd/>
        <w:spacing w:after="0" w:line="259" w:lineRule="auto"/>
        <w:jc w:val="left"/>
        <w:rPr>
          <w:rFonts w:eastAsiaTheme="minorHAnsi" w:cs="Arial"/>
          <w:bCs/>
          <w:color w:val="auto"/>
        </w:rPr>
      </w:pPr>
      <w:r>
        <w:rPr>
          <w:rFonts w:eastAsiaTheme="minorHAnsi" w:cs="Arial"/>
          <w:bCs/>
          <w:color w:val="auto"/>
        </w:rPr>
        <w:t xml:space="preserve">This programme delivers works to increase capacity in school place provision across the county. </w:t>
      </w:r>
    </w:p>
    <w:p w:rsidR="00026737" w:rsidRDefault="00A953D6" w:rsidP="00026737">
      <w:pPr>
        <w:spacing w:after="0"/>
        <w:rPr>
          <w:rFonts w:cs="Arial"/>
          <w:b/>
          <w:u w:val="single"/>
        </w:rPr>
      </w:pPr>
    </w:p>
    <w:p w:rsidR="00026737" w:rsidRDefault="008A011B" w:rsidP="00026737">
      <w:pPr>
        <w:spacing w:after="0"/>
        <w:rPr>
          <w:rFonts w:cs="Arial"/>
        </w:rPr>
      </w:pPr>
      <w:r w:rsidRPr="0094754F">
        <w:rPr>
          <w:rFonts w:cs="Arial"/>
        </w:rPr>
        <w:t xml:space="preserve">The Basic Need programme has incurred a total </w:t>
      </w:r>
      <w:r w:rsidRPr="00264A0B">
        <w:rPr>
          <w:rFonts w:cs="Arial"/>
        </w:rPr>
        <w:t>of £3.475m</w:t>
      </w:r>
      <w:r w:rsidRPr="0094754F">
        <w:rPr>
          <w:rFonts w:cs="Arial"/>
        </w:rPr>
        <w:t xml:space="preserve"> of slipped delivery in 2017/18 across 19 projects. 9 of these are completed and in the defects and liabilities period and 3 are completed and in the final stage of pre-closure tasks. This means that 12 of the 19 schemes are build complete and the slippage relates to financial payment only (£0.751m) rather than delivery delays.  </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A small number of projects have incurred delivery delays. The Euxton Balshaw Lane project is currently under construction and has slipped by £1.500m against the profiled budget. Although slipped delivery had previously been forecast on this scheme, this was further exacerbated by bad weather conditions during the</w:t>
      </w:r>
      <w:r>
        <w:rPr>
          <w:rFonts w:cs="Arial"/>
        </w:rPr>
        <w:t xml:space="preserve"> winter months resulting in lower </w:t>
      </w:r>
      <w:r w:rsidRPr="0094754F">
        <w:rPr>
          <w:rFonts w:cs="Arial"/>
        </w:rPr>
        <w:t>valuation claims by contractors</w:t>
      </w:r>
      <w:r>
        <w:rPr>
          <w:rFonts w:cs="Arial"/>
        </w:rPr>
        <w:t xml:space="preserve"> which created a further £0.950m underspend</w:t>
      </w:r>
      <w:r w:rsidRPr="0094754F">
        <w:rPr>
          <w:rFonts w:cs="Arial"/>
        </w:rPr>
        <w:t>. It is expected that the slipped value will be invoiced quickly in the first few months of 2018/19.</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The Langho and Billington St Leonard's project is also under construction and has slipped by £0.630m.  Work on site was delayed due to the necessity of both a value engineering exercise in order to reduce the costs of the scheme and a further cabinet approval for funding in order to reach an Agreed Maximum Cost with the contractor. </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The Ribblesdale High School project is under Technical Design and has slipped by -£0.314m as previously forecast due to delays incurred on agreeing the extent to the inclusion of sprinkler systems. </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The remaining projects still under construction have incurred smaller slipped delivery variances totalling £0.280m. </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Advanced Delivery against future years' budget has been achieved on 6 Basic Need projects totalling </w:t>
      </w:r>
      <w:r w:rsidRPr="00264A0B">
        <w:rPr>
          <w:rFonts w:cs="Arial"/>
        </w:rPr>
        <w:t>£0.647m</w:t>
      </w:r>
      <w:r w:rsidRPr="0094754F">
        <w:rPr>
          <w:rFonts w:cs="Arial"/>
        </w:rPr>
        <w:t>. Most significantly, the Lancaster Stepping Stones project is spending ahead of profile by £0.242m and the Preston Larches project by £0.179m. Smaller advanced delivery variances totalling £0.226m are observed across the other 4 projects.</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Several Basic need projects were completed as at 31st March 2018 generating underspends </w:t>
      </w:r>
      <w:r w:rsidRPr="00264A0B">
        <w:rPr>
          <w:rFonts w:cs="Arial"/>
        </w:rPr>
        <w:t>totalling £0.855m</w:t>
      </w:r>
      <w:r w:rsidRPr="0094754F">
        <w:rPr>
          <w:rFonts w:cs="Arial"/>
        </w:rPr>
        <w:t xml:space="preserve">. Particularly, the Ormskirk Acorns projects has completed at £0.144m under budget and Chorley Southlands at £0.092m. Smaller underspends across </w:t>
      </w:r>
      <w:r>
        <w:rPr>
          <w:rFonts w:cs="Arial"/>
        </w:rPr>
        <w:t xml:space="preserve">14 other projects equates to an </w:t>
      </w:r>
      <w:r w:rsidRPr="0094754F">
        <w:rPr>
          <w:rFonts w:cs="Arial"/>
        </w:rPr>
        <w:t xml:space="preserve">underspend totalling £0.250m. </w:t>
      </w:r>
    </w:p>
    <w:p w:rsidR="00026737" w:rsidRDefault="00A953D6" w:rsidP="00026737">
      <w:pPr>
        <w:spacing w:after="0"/>
        <w:rPr>
          <w:rFonts w:cs="Arial"/>
        </w:rPr>
      </w:pPr>
    </w:p>
    <w:p w:rsidR="00026737" w:rsidRDefault="008A011B" w:rsidP="00026737">
      <w:pPr>
        <w:spacing w:after="0"/>
        <w:rPr>
          <w:rFonts w:cs="Arial"/>
        </w:rPr>
      </w:pPr>
      <w:r w:rsidRPr="0094754F">
        <w:rPr>
          <w:rFonts w:cs="Arial"/>
        </w:rPr>
        <w:t>A further saving of</w:t>
      </w:r>
      <w:r>
        <w:rPr>
          <w:rFonts w:cs="Arial"/>
        </w:rPr>
        <w:t xml:space="preserve"> </w:t>
      </w:r>
      <w:r w:rsidRPr="0094754F">
        <w:rPr>
          <w:rFonts w:cs="Arial"/>
        </w:rPr>
        <w:t>£0.370m was made against the provision for School Planning and Design team contributions which were met from elsewhere in the programme. A number of completed projects which commenced in prior years incurred overspends in 2017/18 totalling £0.194m.</w:t>
      </w:r>
    </w:p>
    <w:p w:rsidR="00026737" w:rsidRPr="0094754F" w:rsidRDefault="00A953D6" w:rsidP="00026737">
      <w:pPr>
        <w:spacing w:after="0"/>
        <w:rPr>
          <w:rFonts w:cs="Arial"/>
        </w:rPr>
      </w:pPr>
    </w:p>
    <w:p w:rsidR="00026737" w:rsidRPr="0094754F" w:rsidRDefault="008A011B" w:rsidP="00026737">
      <w:pPr>
        <w:spacing w:after="0"/>
        <w:rPr>
          <w:rFonts w:cs="Arial"/>
        </w:rPr>
      </w:pPr>
      <w:r w:rsidRPr="0094754F">
        <w:rPr>
          <w:rFonts w:cs="Arial"/>
        </w:rPr>
        <w:t xml:space="preserve">An overspend variance is shown against the Leyland St Mary's project of </w:t>
      </w:r>
      <w:r w:rsidRPr="00264A0B">
        <w:rPr>
          <w:rFonts w:cs="Arial"/>
        </w:rPr>
        <w:t>£0.519m</w:t>
      </w:r>
      <w:r w:rsidRPr="0094754F">
        <w:rPr>
          <w:rFonts w:cs="Arial"/>
        </w:rPr>
        <w:t xml:space="preserve">. </w:t>
      </w:r>
      <w:r>
        <w:rPr>
          <w:rFonts w:cs="Arial"/>
        </w:rPr>
        <w:t xml:space="preserve">This spend will be repaid </w:t>
      </w:r>
      <w:r w:rsidRPr="0094754F">
        <w:rPr>
          <w:rFonts w:cs="Arial"/>
        </w:rPr>
        <w:t xml:space="preserve">from the insurers, </w:t>
      </w:r>
      <w:r>
        <w:rPr>
          <w:rFonts w:cs="Arial"/>
        </w:rPr>
        <w:t>and</w:t>
      </w:r>
      <w:r w:rsidRPr="0094754F">
        <w:rPr>
          <w:rFonts w:cs="Arial"/>
        </w:rPr>
        <w:t xml:space="preserve"> will be received in the spring of 2018. </w:t>
      </w:r>
    </w:p>
    <w:p w:rsidR="00026737" w:rsidRPr="0094754F" w:rsidRDefault="00A953D6" w:rsidP="00026737">
      <w:pPr>
        <w:spacing w:after="0"/>
        <w:rPr>
          <w:rFonts w:cs="Arial"/>
        </w:rPr>
      </w:pPr>
    </w:p>
    <w:p w:rsidR="00026737" w:rsidRPr="0094754F" w:rsidRDefault="008A011B" w:rsidP="00026737">
      <w:pPr>
        <w:spacing w:after="0"/>
        <w:rPr>
          <w:rFonts w:cs="Arial"/>
          <w:b/>
          <w:i/>
        </w:rPr>
      </w:pPr>
      <w:r w:rsidRPr="0094754F">
        <w:rPr>
          <w:rFonts w:cs="Arial"/>
          <w:b/>
          <w:i/>
        </w:rPr>
        <w:t>Condition Led Programme</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This programme delivers works to improve the condition of existing schools, with the majority of the works being undertaken during the school holidays to minimise disruption to the education provision. </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During 2017/18 several projects started in previous years </w:t>
      </w:r>
      <w:r w:rsidRPr="00790708">
        <w:rPr>
          <w:rFonts w:cs="Arial"/>
        </w:rPr>
        <w:t>were completed, closing</w:t>
      </w:r>
      <w:r w:rsidRPr="0094754F">
        <w:rPr>
          <w:rFonts w:cs="Arial"/>
        </w:rPr>
        <w:t xml:space="preserve"> with a combined underspend of </w:t>
      </w:r>
      <w:r w:rsidRPr="00264A0B">
        <w:rPr>
          <w:rFonts w:cs="Arial"/>
        </w:rPr>
        <w:t>£0.732m and an unallocated contingency remaining of £0.700m. A small number of projects overspent by £0.084m to be funded from this contingency. There is an estimated £0.125m of final retention</w:t>
      </w:r>
      <w:r w:rsidRPr="0094754F">
        <w:rPr>
          <w:rFonts w:cs="Arial"/>
        </w:rPr>
        <w:t xml:space="preserve"> payments due that will fall in 2018/19. The net underspend on the programme is therefore anticipated to be £1.473m which will be reallocated in future years for other schools condition projects.</w:t>
      </w:r>
    </w:p>
    <w:p w:rsidR="00026737" w:rsidRPr="0094754F" w:rsidRDefault="00A953D6" w:rsidP="00026737">
      <w:pPr>
        <w:spacing w:after="0"/>
        <w:rPr>
          <w:rFonts w:cs="Arial"/>
        </w:rPr>
      </w:pPr>
    </w:p>
    <w:p w:rsidR="00026737" w:rsidRDefault="008A011B" w:rsidP="00026737">
      <w:pPr>
        <w:spacing w:after="0"/>
        <w:rPr>
          <w:rFonts w:cs="Arial"/>
        </w:rPr>
      </w:pPr>
      <w:r w:rsidRPr="0094754F">
        <w:rPr>
          <w:rFonts w:cs="Arial"/>
        </w:rPr>
        <w:t xml:space="preserve">Projects started in 2017/18 will continue to be delivered into 2018/19.  The 2017/18 delivery budget at 31st March was £11.260m. 87% delivery was achieved with </w:t>
      </w:r>
      <w:r w:rsidRPr="00264A0B">
        <w:rPr>
          <w:rFonts w:cs="Arial"/>
        </w:rPr>
        <w:t>£1.453m</w:t>
      </w:r>
      <w:r w:rsidRPr="0094754F">
        <w:rPr>
          <w:rFonts w:cs="Arial"/>
        </w:rPr>
        <w:t xml:space="preserve"> slipped delivery which will be delivered in 2018/19. </w:t>
      </w:r>
    </w:p>
    <w:p w:rsidR="00026737" w:rsidRPr="0094754F" w:rsidRDefault="00A953D6" w:rsidP="00026737">
      <w:pPr>
        <w:spacing w:after="0"/>
        <w:rPr>
          <w:rFonts w:cs="Arial"/>
        </w:rPr>
      </w:pPr>
    </w:p>
    <w:p w:rsidR="00026737" w:rsidRPr="0094754F" w:rsidRDefault="008A011B" w:rsidP="00026737">
      <w:pPr>
        <w:spacing w:after="0"/>
        <w:rPr>
          <w:rFonts w:cs="Arial"/>
        </w:rPr>
      </w:pPr>
      <w:r w:rsidRPr="0094754F">
        <w:rPr>
          <w:rFonts w:cs="Arial"/>
        </w:rPr>
        <w:t xml:space="preserve">There is advanced delivery on projects due to start in 2018/19  of </w:t>
      </w:r>
      <w:r w:rsidRPr="00264A0B">
        <w:rPr>
          <w:rFonts w:cs="Arial"/>
        </w:rPr>
        <w:t>£0.012m</w:t>
      </w:r>
      <w:r w:rsidRPr="0094754F">
        <w:rPr>
          <w:rFonts w:cs="Arial"/>
        </w:rPr>
        <w:t xml:space="preserve"> as design work has commenced to ensure works can be delivered in school holiday period Summer 2018. </w:t>
      </w:r>
    </w:p>
    <w:p w:rsidR="00026737" w:rsidRPr="0094754F" w:rsidRDefault="00A953D6" w:rsidP="00026737">
      <w:pPr>
        <w:spacing w:after="0"/>
        <w:rPr>
          <w:rFonts w:cs="Arial"/>
        </w:rPr>
      </w:pPr>
    </w:p>
    <w:p w:rsidR="00026737" w:rsidRPr="0094754F" w:rsidRDefault="008A011B" w:rsidP="00026737">
      <w:pPr>
        <w:spacing w:after="0"/>
        <w:rPr>
          <w:rFonts w:cs="Arial"/>
          <w:b/>
          <w:i/>
        </w:rPr>
      </w:pPr>
      <w:r w:rsidRPr="0094754F">
        <w:rPr>
          <w:rFonts w:cs="Arial"/>
          <w:b/>
          <w:i/>
        </w:rPr>
        <w:t>Contingency Budgets</w:t>
      </w:r>
    </w:p>
    <w:p w:rsidR="00026737" w:rsidRPr="0094754F" w:rsidRDefault="00A953D6" w:rsidP="00026737">
      <w:pPr>
        <w:spacing w:after="0"/>
        <w:rPr>
          <w:rFonts w:cs="Arial"/>
        </w:rPr>
      </w:pPr>
    </w:p>
    <w:p w:rsidR="00026737" w:rsidRPr="0094754F" w:rsidRDefault="008A011B" w:rsidP="00026737">
      <w:pPr>
        <w:spacing w:after="0"/>
        <w:rPr>
          <w:rFonts w:cs="Arial"/>
        </w:rPr>
      </w:pPr>
      <w:r w:rsidRPr="0094754F">
        <w:rPr>
          <w:rFonts w:cs="Arial"/>
        </w:rPr>
        <w:t xml:space="preserve">During the year and once projects are complete there is a mixture of under and overspends on individual projects, at closure of the projects these remaining budget allocations are taken to or from the contingency pot (unallocated budgets) within the programme to be available to fund contingency items on other projects as required over time. As at March 2018 the balance on these unallocated budgets is £1.708m taking into account funding of advanced delivery of future years budgeted projects. </w:t>
      </w:r>
    </w:p>
    <w:p w:rsidR="00026737" w:rsidRPr="00735826" w:rsidRDefault="00A953D6" w:rsidP="00026737">
      <w:pPr>
        <w:spacing w:after="0"/>
        <w:rPr>
          <w:rFonts w:cs="Arial"/>
          <w:b/>
          <w:u w:val="single"/>
        </w:rPr>
      </w:pPr>
    </w:p>
    <w:p w:rsidR="00026737" w:rsidRPr="0094754F" w:rsidRDefault="008A011B" w:rsidP="00026737">
      <w:pPr>
        <w:spacing w:after="0"/>
        <w:rPr>
          <w:rFonts w:cs="Arial"/>
          <w:b/>
          <w:i/>
        </w:rPr>
      </w:pPr>
      <w:r w:rsidRPr="0094754F">
        <w:rPr>
          <w:rFonts w:cs="Arial"/>
          <w:b/>
          <w:i/>
        </w:rPr>
        <w:t>Schools DFC</w:t>
      </w:r>
    </w:p>
    <w:p w:rsidR="00026737" w:rsidRPr="0094754F" w:rsidRDefault="00A953D6" w:rsidP="00026737">
      <w:pPr>
        <w:spacing w:after="0"/>
        <w:rPr>
          <w:rFonts w:cs="Arial"/>
        </w:rPr>
      </w:pPr>
    </w:p>
    <w:p w:rsidR="00026737" w:rsidRDefault="008A011B" w:rsidP="00026737">
      <w:pPr>
        <w:spacing w:after="0"/>
        <w:rPr>
          <w:rFonts w:cs="Arial"/>
        </w:rPr>
      </w:pPr>
      <w:r>
        <w:rPr>
          <w:rFonts w:cs="Arial"/>
        </w:rPr>
        <w:t>A spend less than budget</w:t>
      </w:r>
      <w:r w:rsidRPr="00735826">
        <w:rPr>
          <w:rFonts w:cs="Arial"/>
        </w:rPr>
        <w:t xml:space="preserve"> of £2.126m is reported at year end due to a change in accounting treatment on advice from C</w:t>
      </w:r>
      <w:r>
        <w:rPr>
          <w:rFonts w:cs="Arial"/>
        </w:rPr>
        <w:t>IPFA,</w:t>
      </w:r>
      <w:r w:rsidRPr="00735826">
        <w:rPr>
          <w:rFonts w:cs="Arial"/>
        </w:rPr>
        <w:t xml:space="preserve"> </w:t>
      </w:r>
      <w:r>
        <w:rPr>
          <w:rFonts w:cs="Arial"/>
        </w:rPr>
        <w:t>whereby</w:t>
      </w:r>
      <w:r w:rsidRPr="00735826">
        <w:rPr>
          <w:rFonts w:cs="Arial"/>
        </w:rPr>
        <w:t xml:space="preserve"> expenditure reported in the accounts should be the capital spend made by schools rather than the capital amount transferred to schools.  </w:t>
      </w:r>
    </w:p>
    <w:p w:rsidR="00026737" w:rsidRPr="00735826" w:rsidRDefault="00A953D6" w:rsidP="00026737">
      <w:pPr>
        <w:spacing w:after="0"/>
        <w:rPr>
          <w:rFonts w:cs="Arial"/>
        </w:rPr>
      </w:pPr>
    </w:p>
    <w:p w:rsidR="00026737" w:rsidRDefault="008A011B" w:rsidP="00026737">
      <w:pPr>
        <w:autoSpaceDE/>
        <w:autoSpaceDN/>
        <w:adjustRightInd/>
        <w:spacing w:after="0" w:line="259" w:lineRule="auto"/>
        <w:jc w:val="left"/>
        <w:rPr>
          <w:rFonts w:eastAsiaTheme="minorHAnsi" w:cs="Arial"/>
          <w:b/>
          <w:color w:val="auto"/>
          <w:u w:val="single"/>
        </w:rPr>
      </w:pPr>
      <w:r>
        <w:rPr>
          <w:rFonts w:eastAsiaTheme="minorHAnsi" w:cs="Arial"/>
          <w:b/>
          <w:color w:val="auto"/>
          <w:u w:val="single"/>
        </w:rPr>
        <w:t xml:space="preserve">4.2 </w:t>
      </w:r>
      <w:r w:rsidRPr="00353508">
        <w:rPr>
          <w:rFonts w:eastAsiaTheme="minorHAnsi" w:cs="Arial"/>
          <w:b/>
          <w:color w:val="auto"/>
          <w:u w:val="single"/>
        </w:rPr>
        <w:t>Children and Young People</w:t>
      </w:r>
    </w:p>
    <w:p w:rsidR="00026737" w:rsidRPr="00353508" w:rsidRDefault="00A953D6" w:rsidP="00026737">
      <w:pPr>
        <w:autoSpaceDE/>
        <w:autoSpaceDN/>
        <w:adjustRightInd/>
        <w:spacing w:after="0" w:line="259" w:lineRule="auto"/>
        <w:jc w:val="left"/>
        <w:rPr>
          <w:rFonts w:eastAsiaTheme="minorHAnsi" w:cs="Arial"/>
          <w:b/>
          <w:color w:val="auto"/>
          <w:u w:val="single"/>
        </w:rPr>
      </w:pPr>
    </w:p>
    <w:p w:rsidR="00026737" w:rsidRDefault="008A011B" w:rsidP="00790708">
      <w:pPr>
        <w:autoSpaceDE/>
        <w:autoSpaceDN/>
        <w:adjustRightInd/>
        <w:spacing w:after="0" w:line="259" w:lineRule="auto"/>
        <w:rPr>
          <w:rFonts w:eastAsiaTheme="minorHAnsi" w:cs="Arial"/>
          <w:color w:val="auto"/>
        </w:rPr>
      </w:pPr>
      <w:r w:rsidRPr="00A17B6E">
        <w:rPr>
          <w:rFonts w:eastAsiaTheme="minorHAnsi" w:cs="Arial"/>
          <w:color w:val="auto"/>
        </w:rPr>
        <w:t xml:space="preserve">The 2017/18 delivery budget for the CYP block of the capital programme was £5.846m. Outturn expenditure was £7.984m, representing expenditure greater than budget of £2.138m due to projects that were </w:t>
      </w:r>
      <w:r>
        <w:rPr>
          <w:rFonts w:eastAsiaTheme="minorHAnsi" w:cs="Arial"/>
          <w:color w:val="auto"/>
        </w:rPr>
        <w:t>re-profiled</w:t>
      </w:r>
      <w:r w:rsidRPr="00A17B6E">
        <w:rPr>
          <w:rFonts w:eastAsiaTheme="minorHAnsi" w:cs="Arial"/>
          <w:color w:val="auto"/>
        </w:rPr>
        <w:t xml:space="preserve"> in </w:t>
      </w:r>
      <w:r>
        <w:rPr>
          <w:rFonts w:eastAsiaTheme="minorHAnsi" w:cs="Arial"/>
          <w:color w:val="auto"/>
        </w:rPr>
        <w:t xml:space="preserve">the </w:t>
      </w:r>
      <w:r w:rsidRPr="00A17B6E">
        <w:rPr>
          <w:rFonts w:eastAsiaTheme="minorHAnsi" w:cs="Arial"/>
          <w:color w:val="auto"/>
        </w:rPr>
        <w:t xml:space="preserve">October 2016 </w:t>
      </w:r>
      <w:r>
        <w:rPr>
          <w:rFonts w:eastAsiaTheme="minorHAnsi" w:cs="Arial"/>
          <w:color w:val="auto"/>
        </w:rPr>
        <w:t xml:space="preserve">Cabinet </w:t>
      </w:r>
      <w:r w:rsidRPr="00A17B6E">
        <w:rPr>
          <w:rFonts w:eastAsiaTheme="minorHAnsi" w:cs="Arial"/>
          <w:color w:val="auto"/>
        </w:rPr>
        <w:t xml:space="preserve">report to future years but have </w:t>
      </w:r>
      <w:r>
        <w:rPr>
          <w:rFonts w:eastAsiaTheme="minorHAnsi" w:cs="Arial"/>
          <w:color w:val="auto"/>
        </w:rPr>
        <w:t xml:space="preserve">now </w:t>
      </w:r>
      <w:r w:rsidRPr="00A17B6E">
        <w:rPr>
          <w:rFonts w:eastAsiaTheme="minorHAnsi" w:cs="Arial"/>
          <w:color w:val="auto"/>
        </w:rPr>
        <w:t>been delivered</w:t>
      </w:r>
      <w:r>
        <w:rPr>
          <w:rFonts w:eastAsiaTheme="minorHAnsi" w:cs="Arial"/>
          <w:color w:val="auto"/>
        </w:rPr>
        <w:t>,</w:t>
      </w:r>
      <w:r w:rsidRPr="00A17B6E">
        <w:rPr>
          <w:rFonts w:eastAsiaTheme="minorHAnsi" w:cs="Arial"/>
          <w:color w:val="auto"/>
        </w:rPr>
        <w:t xml:space="preserve"> in full this year. </w:t>
      </w:r>
    </w:p>
    <w:p w:rsidR="00026737" w:rsidRPr="00A17B6E" w:rsidRDefault="00A953D6" w:rsidP="00026737">
      <w:pPr>
        <w:autoSpaceDE/>
        <w:autoSpaceDN/>
        <w:adjustRightInd/>
        <w:spacing w:after="0" w:line="259" w:lineRule="auto"/>
        <w:jc w:val="left"/>
        <w:rPr>
          <w:rFonts w:eastAsiaTheme="minorHAnsi" w:cs="Arial"/>
          <w:color w:val="auto"/>
        </w:rPr>
      </w:pPr>
    </w:p>
    <w:p w:rsidR="00026737" w:rsidRPr="00264A0B" w:rsidRDefault="008A011B" w:rsidP="00026737">
      <w:pPr>
        <w:pStyle w:val="ListParagraph"/>
        <w:numPr>
          <w:ilvl w:val="0"/>
          <w:numId w:val="30"/>
        </w:numPr>
        <w:spacing w:after="0"/>
        <w:rPr>
          <w:rFonts w:cs="Arial"/>
        </w:rPr>
      </w:pPr>
      <w:r>
        <w:rPr>
          <w:rFonts w:cs="Arial"/>
        </w:rPr>
        <w:t>Advance delivery</w:t>
      </w:r>
      <w:r w:rsidRPr="007C7D67">
        <w:rPr>
          <w:rFonts w:cs="Arial"/>
        </w:rPr>
        <w:t xml:space="preserve"> of </w:t>
      </w:r>
      <w:r w:rsidRPr="00264A0B">
        <w:rPr>
          <w:rFonts w:cs="Arial"/>
        </w:rPr>
        <w:t xml:space="preserve">£4.046m due to expenditure on several projects </w:t>
      </w:r>
      <w:r>
        <w:rPr>
          <w:rFonts w:cs="Arial"/>
        </w:rPr>
        <w:t xml:space="preserve">(including contribution to Chorley Youth Zone) </w:t>
      </w:r>
      <w:r w:rsidRPr="00264A0B">
        <w:rPr>
          <w:rFonts w:cs="Arial"/>
        </w:rPr>
        <w:t xml:space="preserve">during 2017/18 where budget was profiled for future years, this will lead to reduced spend against future years budgets.  </w:t>
      </w:r>
    </w:p>
    <w:p w:rsidR="00026737" w:rsidRPr="00790708" w:rsidRDefault="008A011B" w:rsidP="00026737">
      <w:pPr>
        <w:pStyle w:val="ListParagraph"/>
        <w:numPr>
          <w:ilvl w:val="0"/>
          <w:numId w:val="30"/>
        </w:numPr>
        <w:spacing w:after="0"/>
        <w:rPr>
          <w:rFonts w:cs="Arial"/>
        </w:rPr>
      </w:pPr>
      <w:r w:rsidRPr="00790708">
        <w:rPr>
          <w:rFonts w:cs="Arial"/>
        </w:rPr>
        <w:lastRenderedPageBreak/>
        <w:t xml:space="preserve">Advanced delivery of £0.543m where budgets were profiled to future years but there has been some expenditure, primarily design work, in this year. </w:t>
      </w:r>
    </w:p>
    <w:p w:rsidR="00026737" w:rsidRPr="00264A0B" w:rsidRDefault="008A011B" w:rsidP="00026737">
      <w:pPr>
        <w:pStyle w:val="ListParagraph"/>
        <w:numPr>
          <w:ilvl w:val="0"/>
          <w:numId w:val="30"/>
        </w:numPr>
        <w:spacing w:after="0"/>
        <w:rPr>
          <w:rFonts w:cs="Arial"/>
        </w:rPr>
      </w:pPr>
      <w:r w:rsidRPr="00264A0B">
        <w:rPr>
          <w:rFonts w:cs="Arial"/>
        </w:rPr>
        <w:t>Slippage of £2.330m  in the Residential Redesign budget</w:t>
      </w:r>
    </w:p>
    <w:p w:rsidR="00026737" w:rsidRPr="007C7D67" w:rsidRDefault="008A011B" w:rsidP="00026737">
      <w:pPr>
        <w:pStyle w:val="ListParagraph"/>
        <w:numPr>
          <w:ilvl w:val="0"/>
          <w:numId w:val="30"/>
        </w:numPr>
        <w:spacing w:after="0"/>
        <w:rPr>
          <w:rFonts w:cs="Arial"/>
        </w:rPr>
      </w:pPr>
      <w:r w:rsidRPr="00264A0B">
        <w:rPr>
          <w:rFonts w:cs="Arial"/>
        </w:rPr>
        <w:t>Underspends on completed projects of £0.121m</w:t>
      </w:r>
      <w:r w:rsidRPr="007C7D67">
        <w:rPr>
          <w:rFonts w:cs="Arial"/>
        </w:rPr>
        <w:t xml:space="preserve"> in</w:t>
      </w:r>
      <w:r>
        <w:rPr>
          <w:rFonts w:cs="Arial"/>
        </w:rPr>
        <w:t xml:space="preserve"> Lancashire Break Time and General Improvements programmes.  </w:t>
      </w:r>
    </w:p>
    <w:p w:rsidR="00026737" w:rsidRDefault="00A953D6" w:rsidP="00026737">
      <w:pPr>
        <w:spacing w:after="0"/>
        <w:rPr>
          <w:rFonts w:cs="Arial"/>
          <w:color w:val="FF0000"/>
        </w:rPr>
      </w:pPr>
    </w:p>
    <w:p w:rsidR="00026737" w:rsidRDefault="008A011B" w:rsidP="00026737">
      <w:pPr>
        <w:spacing w:after="0"/>
        <w:rPr>
          <w:rFonts w:cs="Arial"/>
          <w:b/>
          <w:i/>
          <w:color w:val="FF0000"/>
          <w:u w:val="single"/>
        </w:rPr>
      </w:pPr>
      <w:r>
        <w:rPr>
          <w:rFonts w:cs="Arial"/>
          <w:b/>
          <w:color w:val="auto"/>
          <w:u w:val="single"/>
        </w:rPr>
        <w:t>4.3 Highways</w:t>
      </w:r>
      <w:r w:rsidRPr="00735826">
        <w:rPr>
          <w:rFonts w:cs="Arial"/>
          <w:b/>
          <w:i/>
          <w:color w:val="FF0000"/>
          <w:u w:val="single"/>
        </w:rPr>
        <w:t xml:space="preserve"> </w:t>
      </w:r>
    </w:p>
    <w:p w:rsidR="00026737" w:rsidRPr="007C55E6" w:rsidRDefault="00A953D6" w:rsidP="00026737">
      <w:pPr>
        <w:spacing w:after="0"/>
        <w:rPr>
          <w:rFonts w:cs="Arial"/>
          <w:b/>
          <w:color w:val="auto"/>
          <w:u w:val="single"/>
        </w:rPr>
      </w:pPr>
    </w:p>
    <w:p w:rsidR="00026737" w:rsidRDefault="008A011B" w:rsidP="00790708">
      <w:pPr>
        <w:autoSpaceDE/>
        <w:autoSpaceDN/>
        <w:adjustRightInd/>
        <w:spacing w:after="0" w:line="259" w:lineRule="auto"/>
        <w:rPr>
          <w:rFonts w:eastAsiaTheme="minorHAnsi" w:cs="Arial"/>
          <w:color w:val="auto"/>
        </w:rPr>
      </w:pPr>
      <w:r w:rsidRPr="00A17B6E">
        <w:rPr>
          <w:rFonts w:eastAsiaTheme="minorHAnsi" w:cs="Arial"/>
          <w:color w:val="auto"/>
        </w:rPr>
        <w:t>The 2017/18 delivery budget for the Highways block of the capital programme was £50.554m. Outturn expenditure was £42.204m, representing expenditure less than budget of £8.350m.</w:t>
      </w:r>
    </w:p>
    <w:p w:rsidR="00026737" w:rsidRDefault="00A953D6" w:rsidP="00026737">
      <w:pPr>
        <w:autoSpaceDE/>
        <w:autoSpaceDN/>
        <w:adjustRightInd/>
        <w:spacing w:after="0" w:line="259" w:lineRule="auto"/>
        <w:jc w:val="left"/>
        <w:rPr>
          <w:rFonts w:cs="Arial"/>
          <w:color w:val="000000" w:themeColor="text1"/>
        </w:rPr>
      </w:pPr>
    </w:p>
    <w:p w:rsidR="00026737" w:rsidRDefault="008A011B" w:rsidP="00026737">
      <w:pPr>
        <w:autoSpaceDE/>
        <w:autoSpaceDN/>
        <w:adjustRightInd/>
        <w:spacing w:after="0" w:line="259" w:lineRule="auto"/>
        <w:jc w:val="left"/>
        <w:rPr>
          <w:rFonts w:cs="Arial"/>
          <w:color w:val="000000" w:themeColor="text1"/>
        </w:rPr>
      </w:pPr>
      <w:r>
        <w:rPr>
          <w:rFonts w:cs="Arial"/>
          <w:color w:val="000000" w:themeColor="text1"/>
        </w:rPr>
        <w:t>Key items to note in certain programmes are:</w:t>
      </w:r>
    </w:p>
    <w:p w:rsidR="00026737" w:rsidRDefault="00A953D6" w:rsidP="00026737">
      <w:pPr>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Footways</w:t>
      </w:r>
      <w:r>
        <w:rPr>
          <w:rFonts w:eastAsiaTheme="minorHAnsi" w:cs="Arial"/>
          <w:b/>
          <w:color w:val="auto"/>
        </w:rPr>
        <w:t xml:space="preserve"> </w:t>
      </w:r>
      <w:r w:rsidRPr="00353508">
        <w:rPr>
          <w:rFonts w:eastAsiaTheme="minorHAnsi" w:cs="Arial"/>
          <w:color w:val="auto"/>
        </w:rPr>
        <w:t xml:space="preserve">– </w:t>
      </w:r>
      <w:r>
        <w:rPr>
          <w:rFonts w:eastAsiaTheme="minorHAnsi" w:cs="Arial"/>
          <w:color w:val="auto"/>
        </w:rPr>
        <w:t>expenditure was £</w:t>
      </w:r>
      <w:r w:rsidRPr="00264A0B">
        <w:rPr>
          <w:rFonts w:eastAsiaTheme="minorHAnsi" w:cs="Arial"/>
          <w:color w:val="auto"/>
        </w:rPr>
        <w:t>1.560m</w:t>
      </w:r>
      <w:r>
        <w:rPr>
          <w:rFonts w:eastAsiaTheme="minorHAnsi" w:cs="Arial"/>
          <w:b/>
          <w:color w:val="auto"/>
        </w:rPr>
        <w:t xml:space="preserve"> </w:t>
      </w:r>
      <w:r w:rsidRPr="00B2550F">
        <w:rPr>
          <w:rFonts w:eastAsiaTheme="minorHAnsi" w:cs="Arial"/>
          <w:color w:val="auto"/>
        </w:rPr>
        <w:t>lower than programmed</w:t>
      </w:r>
      <w:r w:rsidRPr="00353508">
        <w:rPr>
          <w:rFonts w:eastAsiaTheme="minorHAnsi" w:cs="Arial"/>
          <w:b/>
          <w:color w:val="auto"/>
        </w:rPr>
        <w:t xml:space="preserve">. </w:t>
      </w:r>
      <w:r>
        <w:rPr>
          <w:rFonts w:eastAsiaTheme="minorHAnsi" w:cs="Arial"/>
          <w:b/>
          <w:color w:val="auto"/>
        </w:rPr>
        <w:t xml:space="preserve"> </w:t>
      </w:r>
      <w:r>
        <w:rPr>
          <w:rFonts w:eastAsiaTheme="minorHAnsi" w:cs="Arial"/>
          <w:color w:val="auto"/>
        </w:rPr>
        <w:t xml:space="preserve">34 of the 38 schemes programmed for delivery have been completed from a delivery perspective although final invoices totalling £0.990m have yet to be settled.  The remaining 4 schemes were delayed due to adverse weather and budget of £0.343m will need to be slipped to 2018-19 to deliver these. </w:t>
      </w:r>
    </w:p>
    <w:p w:rsidR="00026737"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Pr>
          <w:rFonts w:eastAsiaTheme="minorHAnsi" w:cs="Arial"/>
          <w:color w:val="auto"/>
        </w:rPr>
        <w:t xml:space="preserve">Of the completed schemes underspends of £0.305m were achieved due to efficiencies including the need for less expensive treatments at a number of locations whilst 10 schemes had overspends totalling £0.115m.  There is currently £0.037m unallocated within the programme. </w:t>
      </w:r>
    </w:p>
    <w:p w:rsidR="00026737" w:rsidRPr="00F740C9"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Bridges Programme</w:t>
      </w:r>
      <w:r w:rsidRPr="00353508">
        <w:rPr>
          <w:rFonts w:eastAsiaTheme="minorHAnsi" w:cs="Arial"/>
          <w:color w:val="auto"/>
        </w:rPr>
        <w:t xml:space="preserve"> has </w:t>
      </w:r>
      <w:r>
        <w:rPr>
          <w:rFonts w:eastAsiaTheme="minorHAnsi" w:cs="Arial"/>
          <w:color w:val="auto"/>
        </w:rPr>
        <w:t>spend less than budget</w:t>
      </w:r>
      <w:r w:rsidRPr="00353508">
        <w:rPr>
          <w:rFonts w:eastAsiaTheme="minorHAnsi" w:cs="Arial"/>
          <w:color w:val="auto"/>
        </w:rPr>
        <w:t xml:space="preserve"> of </w:t>
      </w:r>
      <w:r w:rsidRPr="00264A0B">
        <w:rPr>
          <w:rFonts w:eastAsiaTheme="minorHAnsi" w:cs="Arial"/>
          <w:color w:val="auto"/>
        </w:rPr>
        <w:t>£0.900m</w:t>
      </w:r>
      <w:r>
        <w:rPr>
          <w:rFonts w:eastAsiaTheme="minorHAnsi" w:cs="Arial"/>
          <w:color w:val="auto"/>
        </w:rPr>
        <w:t xml:space="preserve">. Slippage of </w:t>
      </w:r>
      <w:r w:rsidRPr="00353508">
        <w:rPr>
          <w:rFonts w:eastAsiaTheme="minorHAnsi" w:cs="Arial"/>
          <w:color w:val="auto"/>
        </w:rPr>
        <w:t xml:space="preserve">£0.400m has materialised due </w:t>
      </w:r>
      <w:r>
        <w:rPr>
          <w:rFonts w:eastAsiaTheme="minorHAnsi" w:cs="Arial"/>
          <w:color w:val="auto"/>
        </w:rPr>
        <w:t xml:space="preserve">to delivery delays on </w:t>
      </w:r>
      <w:r w:rsidRPr="00353508">
        <w:rPr>
          <w:rFonts w:eastAsiaTheme="minorHAnsi" w:cs="Arial"/>
          <w:color w:val="auto"/>
        </w:rPr>
        <w:t>several schemes</w:t>
      </w:r>
      <w:r>
        <w:rPr>
          <w:rFonts w:eastAsiaTheme="minorHAnsi" w:cs="Arial"/>
          <w:color w:val="auto"/>
        </w:rPr>
        <w:t xml:space="preserve">. </w:t>
      </w:r>
      <w:r w:rsidRPr="00353508">
        <w:rPr>
          <w:rFonts w:eastAsiaTheme="minorHAnsi" w:cs="Arial"/>
          <w:color w:val="auto"/>
        </w:rPr>
        <w:t>I</w:t>
      </w:r>
      <w:r>
        <w:rPr>
          <w:rFonts w:eastAsiaTheme="minorHAnsi" w:cs="Arial"/>
          <w:color w:val="auto"/>
        </w:rPr>
        <w:t xml:space="preserve">n addition, </w:t>
      </w:r>
      <w:r w:rsidRPr="00353508">
        <w:rPr>
          <w:rFonts w:eastAsiaTheme="minorHAnsi" w:cs="Arial"/>
          <w:color w:val="auto"/>
        </w:rPr>
        <w:t xml:space="preserve">£0.500m </w:t>
      </w:r>
      <w:r>
        <w:rPr>
          <w:rFonts w:eastAsiaTheme="minorHAnsi" w:cs="Arial"/>
          <w:color w:val="auto"/>
        </w:rPr>
        <w:t>of the 2017/18 allocation for the 2</w:t>
      </w:r>
      <w:r w:rsidRPr="00353508">
        <w:rPr>
          <w:rFonts w:eastAsiaTheme="minorHAnsi" w:cs="Arial"/>
          <w:color w:val="auto"/>
        </w:rPr>
        <w:t xml:space="preserve">017/18 </w:t>
      </w:r>
      <w:r>
        <w:rPr>
          <w:rFonts w:eastAsiaTheme="minorHAnsi" w:cs="Arial"/>
          <w:color w:val="auto"/>
        </w:rPr>
        <w:t xml:space="preserve">delivery </w:t>
      </w:r>
      <w:r w:rsidRPr="00353508">
        <w:rPr>
          <w:rFonts w:eastAsiaTheme="minorHAnsi" w:cs="Arial"/>
          <w:color w:val="auto"/>
        </w:rPr>
        <w:t>programm</w:t>
      </w:r>
      <w:r>
        <w:rPr>
          <w:rFonts w:eastAsiaTheme="minorHAnsi" w:cs="Arial"/>
          <w:color w:val="auto"/>
        </w:rPr>
        <w:t xml:space="preserve">e relating to Greyhound Viaduct will be slipped into 2018/19 due to a successful bid for DfT Challenge funding being awarded.  This award will be utilised before County Council resources.  </w:t>
      </w:r>
    </w:p>
    <w:p w:rsidR="00026737"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Street Lighting</w:t>
      </w:r>
      <w:r>
        <w:rPr>
          <w:rFonts w:eastAsiaTheme="minorHAnsi" w:cs="Arial"/>
          <w:color w:val="auto"/>
        </w:rPr>
        <w:t xml:space="preserve"> has spend less than budget of £</w:t>
      </w:r>
      <w:r w:rsidRPr="00264A0B">
        <w:rPr>
          <w:rFonts w:eastAsiaTheme="minorHAnsi" w:cs="Arial"/>
          <w:color w:val="auto"/>
        </w:rPr>
        <w:t>1.031m</w:t>
      </w:r>
      <w:r w:rsidRPr="00353508">
        <w:rPr>
          <w:rFonts w:eastAsiaTheme="minorHAnsi" w:cs="Arial"/>
          <w:b/>
          <w:color w:val="auto"/>
        </w:rPr>
        <w:t xml:space="preserve">. </w:t>
      </w:r>
      <w:r w:rsidRPr="00353508">
        <w:rPr>
          <w:rFonts w:eastAsiaTheme="minorHAnsi" w:cs="Arial"/>
          <w:color w:val="auto"/>
        </w:rPr>
        <w:t>This can be split as follows</w:t>
      </w:r>
      <w:r>
        <w:rPr>
          <w:rFonts w:eastAsiaTheme="minorHAnsi" w:cs="Arial"/>
          <w:color w:val="auto"/>
        </w:rPr>
        <w:t>:</w:t>
      </w:r>
    </w:p>
    <w:p w:rsidR="00026737" w:rsidRPr="00353508" w:rsidRDefault="00A953D6" w:rsidP="00026737">
      <w:pPr>
        <w:autoSpaceDE/>
        <w:autoSpaceDN/>
        <w:adjustRightInd/>
        <w:spacing w:after="0" w:line="259" w:lineRule="auto"/>
        <w:jc w:val="left"/>
        <w:rPr>
          <w:rFonts w:eastAsiaTheme="minorHAnsi" w:cs="Arial"/>
          <w:color w:val="auto"/>
        </w:rPr>
      </w:pPr>
    </w:p>
    <w:p w:rsidR="00026737" w:rsidRPr="00A17B6E" w:rsidRDefault="008A011B" w:rsidP="00026737">
      <w:pPr>
        <w:pStyle w:val="ListParagraph"/>
        <w:numPr>
          <w:ilvl w:val="0"/>
          <w:numId w:val="38"/>
        </w:numPr>
        <w:autoSpaceDE/>
        <w:autoSpaceDN/>
        <w:adjustRightInd/>
        <w:spacing w:after="0" w:line="259" w:lineRule="auto"/>
        <w:rPr>
          <w:rFonts w:eastAsiaTheme="minorHAnsi" w:cs="Arial"/>
          <w:color w:val="auto"/>
        </w:rPr>
      </w:pPr>
      <w:r w:rsidRPr="00A17B6E">
        <w:rPr>
          <w:rFonts w:eastAsiaTheme="minorHAnsi" w:cs="Arial"/>
          <w:color w:val="auto"/>
        </w:rPr>
        <w:t xml:space="preserve">Invest to Save </w:t>
      </w:r>
      <w:r>
        <w:rPr>
          <w:rFonts w:eastAsiaTheme="minorHAnsi" w:cs="Arial"/>
          <w:color w:val="auto"/>
        </w:rPr>
        <w:t xml:space="preserve">slippage of </w:t>
      </w:r>
      <w:r w:rsidRPr="00A17B6E">
        <w:rPr>
          <w:rFonts w:eastAsiaTheme="minorHAnsi" w:cs="Arial"/>
          <w:color w:val="auto"/>
        </w:rPr>
        <w:t>£2.700m.</w:t>
      </w:r>
      <w:r>
        <w:rPr>
          <w:rFonts w:eastAsiaTheme="minorHAnsi" w:cs="Arial"/>
          <w:color w:val="auto"/>
        </w:rPr>
        <w:t xml:space="preserve"> This programme is a combination of externally funded Challenge Fund project which was completed as at March 2018 and spent to budget, and the internally funded Energy Reduction Programme with has seen slippage of £2.700m due to maximising the utilisation of the Challenge fund monies. The county council programme will be completed in 2018/19. The programme was delayed due to procurement exercise to secure lower unit costs  which </w:t>
      </w:r>
      <w:r w:rsidRPr="00A17B6E">
        <w:rPr>
          <w:rFonts w:eastAsiaTheme="minorHAnsi" w:cs="Arial"/>
          <w:color w:val="auto"/>
        </w:rPr>
        <w:t xml:space="preserve"> </w:t>
      </w:r>
      <w:r>
        <w:rPr>
          <w:rFonts w:eastAsiaTheme="minorHAnsi" w:cs="Arial"/>
          <w:color w:val="auto"/>
        </w:rPr>
        <w:t xml:space="preserve">then resulted in less spend against the programme, both in time to deliver and efficiencies due to unit costs.  There is likely to be significant underspends once the programme is complete due to these efficiencies. </w:t>
      </w:r>
    </w:p>
    <w:p w:rsidR="00026737" w:rsidRDefault="008A011B" w:rsidP="00026737">
      <w:pPr>
        <w:pStyle w:val="ListParagraph"/>
        <w:numPr>
          <w:ilvl w:val="0"/>
          <w:numId w:val="38"/>
        </w:numPr>
        <w:autoSpaceDE/>
        <w:autoSpaceDN/>
        <w:adjustRightInd/>
        <w:spacing w:after="0" w:line="259" w:lineRule="auto"/>
        <w:rPr>
          <w:rFonts w:eastAsiaTheme="minorHAnsi" w:cs="Arial"/>
          <w:color w:val="auto"/>
        </w:rPr>
      </w:pPr>
      <w:r w:rsidRPr="00A17B6E">
        <w:rPr>
          <w:rFonts w:eastAsiaTheme="minorHAnsi" w:cs="Arial"/>
          <w:color w:val="auto"/>
        </w:rPr>
        <w:t>Street Lighting maintenanc</w:t>
      </w:r>
      <w:r>
        <w:rPr>
          <w:rFonts w:eastAsiaTheme="minorHAnsi" w:cs="Arial"/>
          <w:color w:val="auto"/>
        </w:rPr>
        <w:t xml:space="preserve">e programme overspent by £1.669m. </w:t>
      </w:r>
      <w:r w:rsidRPr="00A17B6E">
        <w:rPr>
          <w:rFonts w:eastAsiaTheme="minorHAnsi" w:cs="Arial"/>
          <w:color w:val="auto"/>
        </w:rPr>
        <w:t xml:space="preserve">This is mainly due to the </w:t>
      </w:r>
      <w:r>
        <w:rPr>
          <w:rFonts w:eastAsiaTheme="minorHAnsi" w:cs="Arial"/>
          <w:color w:val="auto"/>
        </w:rPr>
        <w:t>timing of the</w:t>
      </w:r>
      <w:r w:rsidRPr="00A17B6E">
        <w:rPr>
          <w:rFonts w:eastAsiaTheme="minorHAnsi" w:cs="Arial"/>
          <w:color w:val="auto"/>
        </w:rPr>
        <w:t xml:space="preserve"> decision to capitalise £1.573m of street lighting defects which extend asset life following the 2018/19 </w:t>
      </w:r>
      <w:r>
        <w:rPr>
          <w:rFonts w:eastAsiaTheme="minorHAnsi" w:cs="Arial"/>
          <w:color w:val="auto"/>
        </w:rPr>
        <w:t xml:space="preserve">revenue </w:t>
      </w:r>
      <w:r w:rsidRPr="00A17B6E">
        <w:rPr>
          <w:rFonts w:eastAsiaTheme="minorHAnsi" w:cs="Arial"/>
          <w:color w:val="auto"/>
        </w:rPr>
        <w:t>budget</w:t>
      </w:r>
      <w:r>
        <w:rPr>
          <w:rFonts w:eastAsiaTheme="minorHAnsi" w:cs="Arial"/>
          <w:color w:val="auto"/>
        </w:rPr>
        <w:t xml:space="preserve"> process</w:t>
      </w:r>
      <w:r w:rsidRPr="00A17B6E">
        <w:rPr>
          <w:rFonts w:eastAsiaTheme="minorHAnsi" w:cs="Arial"/>
          <w:color w:val="auto"/>
        </w:rPr>
        <w:t>.</w:t>
      </w:r>
    </w:p>
    <w:p w:rsidR="00026737" w:rsidRDefault="00A953D6" w:rsidP="00026737">
      <w:pPr>
        <w:autoSpaceDE/>
        <w:autoSpaceDN/>
        <w:adjustRightInd/>
        <w:spacing w:after="0" w:line="259" w:lineRule="auto"/>
        <w:rPr>
          <w:rFonts w:eastAsiaTheme="minorHAnsi" w:cs="Arial"/>
          <w:b/>
          <w:color w:val="auto"/>
        </w:rPr>
      </w:pPr>
    </w:p>
    <w:p w:rsidR="00026737" w:rsidRDefault="008A011B" w:rsidP="00026737">
      <w:pPr>
        <w:autoSpaceDE/>
        <w:autoSpaceDN/>
        <w:adjustRightInd/>
        <w:spacing w:after="0" w:line="259" w:lineRule="auto"/>
        <w:rPr>
          <w:rFonts w:eastAsiaTheme="minorHAnsi" w:cs="Arial"/>
          <w:color w:val="auto"/>
        </w:rPr>
      </w:pPr>
      <w:r w:rsidRPr="002A179E">
        <w:rPr>
          <w:rFonts w:eastAsiaTheme="minorHAnsi" w:cs="Arial"/>
          <w:b/>
          <w:i/>
          <w:color w:val="auto"/>
        </w:rPr>
        <w:t>Structural Defects</w:t>
      </w:r>
      <w:r w:rsidRPr="002A179E">
        <w:rPr>
          <w:rFonts w:eastAsiaTheme="minorHAnsi" w:cs="Arial"/>
          <w:color w:val="auto"/>
        </w:rPr>
        <w:t xml:space="preserve"> spend greater than budget of £5.330m. £2.400m of this is due to the decision to capitalise structural defects and a further £2.700m of agreed </w:t>
      </w:r>
      <w:r w:rsidRPr="002A179E">
        <w:rPr>
          <w:rFonts w:eastAsiaTheme="minorHAnsi" w:cs="Arial"/>
          <w:color w:val="auto"/>
        </w:rPr>
        <w:lastRenderedPageBreak/>
        <w:t>expenditure which represents additional spend as a result of revenue budget decisions during the 2018/19 budget process to capitalise areas of expenditure previously funded from revenue which have been implemented in 2017/18.  These items have been built into the budgets for 2018/19 onwards.</w:t>
      </w:r>
    </w:p>
    <w:p w:rsidR="00026737" w:rsidRDefault="00A953D6" w:rsidP="00026737">
      <w:pPr>
        <w:pStyle w:val="ListParagraph"/>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DfT funding for Flood Damaged Roads and Bridges</w:t>
      </w:r>
      <w:r>
        <w:rPr>
          <w:rFonts w:eastAsiaTheme="minorHAnsi" w:cs="Arial"/>
          <w:color w:val="auto"/>
        </w:rPr>
        <w:t xml:space="preserve"> – slippage of</w:t>
      </w:r>
      <w:r w:rsidRPr="00353508">
        <w:rPr>
          <w:rFonts w:eastAsiaTheme="minorHAnsi" w:cs="Arial"/>
          <w:color w:val="auto"/>
        </w:rPr>
        <w:t xml:space="preserve"> </w:t>
      </w:r>
      <w:r w:rsidRPr="00264A0B">
        <w:rPr>
          <w:rFonts w:eastAsiaTheme="minorHAnsi" w:cs="Arial"/>
          <w:color w:val="auto"/>
        </w:rPr>
        <w:t>£1.657</w:t>
      </w:r>
      <w:r w:rsidRPr="00790708">
        <w:rPr>
          <w:rFonts w:eastAsiaTheme="minorHAnsi" w:cs="Arial"/>
          <w:color w:val="auto"/>
        </w:rPr>
        <w:t>m.</w:t>
      </w:r>
      <w:r w:rsidRPr="00353508">
        <w:rPr>
          <w:rFonts w:eastAsiaTheme="minorHAnsi" w:cs="Arial"/>
          <w:b/>
          <w:color w:val="auto"/>
        </w:rPr>
        <w:t xml:space="preserve"> </w:t>
      </w:r>
      <w:r>
        <w:rPr>
          <w:rFonts w:eastAsiaTheme="minorHAnsi" w:cs="Arial"/>
          <w:color w:val="auto"/>
        </w:rPr>
        <w:t xml:space="preserve"> </w:t>
      </w:r>
      <w:r w:rsidRPr="006E2BFC">
        <w:rPr>
          <w:rFonts w:eastAsiaTheme="minorHAnsi" w:cs="Arial"/>
          <w:color w:val="auto"/>
        </w:rPr>
        <w:t>There were insufficient funds available to deliver a completely new structure therefore an options study was required to explore replacement solution that could fit within the available budget.  However the environmental constraints of working in the river and a delay in the tender process means the works are now expected to start May 2018, subject to the Environment Agency (EA) agreeing the working methods with the contractor</w:t>
      </w:r>
      <w:r>
        <w:rPr>
          <w:rFonts w:eastAsiaTheme="minorHAnsi" w:cs="Arial"/>
          <w:color w:val="auto"/>
        </w:rPr>
        <w:t xml:space="preserve">. </w:t>
      </w:r>
    </w:p>
    <w:p w:rsidR="00026737" w:rsidRPr="00353508" w:rsidRDefault="00A953D6" w:rsidP="00026737">
      <w:pPr>
        <w:autoSpaceDE/>
        <w:autoSpaceDN/>
        <w:adjustRightInd/>
        <w:spacing w:after="0" w:line="259" w:lineRule="auto"/>
        <w:rPr>
          <w:rFonts w:eastAsiaTheme="minorHAnsi" w:cs="Arial"/>
          <w:color w:val="auto"/>
        </w:rPr>
      </w:pPr>
    </w:p>
    <w:p w:rsidR="00026737" w:rsidRPr="00EE7E3C"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Drainage</w:t>
      </w:r>
      <w:r>
        <w:rPr>
          <w:rFonts w:eastAsiaTheme="minorHAnsi" w:cs="Arial"/>
          <w:color w:val="auto"/>
        </w:rPr>
        <w:t xml:space="preserve"> – spend less than budget of </w:t>
      </w:r>
      <w:r w:rsidRPr="00353508">
        <w:rPr>
          <w:rFonts w:eastAsiaTheme="minorHAnsi" w:cs="Arial"/>
          <w:color w:val="auto"/>
        </w:rPr>
        <w:t>£</w:t>
      </w:r>
      <w:r w:rsidRPr="00264A0B">
        <w:rPr>
          <w:rFonts w:eastAsiaTheme="minorHAnsi" w:cs="Arial"/>
          <w:color w:val="auto"/>
        </w:rPr>
        <w:t>0.416m</w:t>
      </w:r>
      <w:r w:rsidRPr="00353508">
        <w:rPr>
          <w:rFonts w:eastAsiaTheme="minorHAnsi" w:cs="Arial"/>
          <w:b/>
          <w:color w:val="auto"/>
        </w:rPr>
        <w:t xml:space="preserve">. </w:t>
      </w:r>
      <w:r>
        <w:rPr>
          <w:rFonts w:eastAsiaTheme="minorHAnsi" w:cs="Arial"/>
          <w:b/>
          <w:color w:val="auto"/>
        </w:rPr>
        <w:t xml:space="preserve"> </w:t>
      </w:r>
      <w:r>
        <w:rPr>
          <w:rFonts w:eastAsiaTheme="minorHAnsi" w:cs="Arial"/>
          <w:color w:val="auto"/>
        </w:rPr>
        <w:t xml:space="preserve">11 schemes have been completed with underspends totalling £0.050m due to efficiencies found on site.  4 schemes have overspends totalling £0.067m. Due to the need to complete negotiations with landowners, localised adverse weather and some resourcing needed to be temporarily diverted to flooding incidents in July and November 2017,18 schemes with a budget of £0.238m have slipped delivery into 2018-19.   Further slippage of £0.195m has arisen as a result of 6 schemes being delayed due to working with partners or requiring specialist input.  These schemes will now be delivered in 2018-19. </w:t>
      </w:r>
    </w:p>
    <w:p w:rsidR="00026737" w:rsidRDefault="00A953D6" w:rsidP="00026737">
      <w:pPr>
        <w:pStyle w:val="ListParagraph"/>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996A11">
        <w:rPr>
          <w:rFonts w:eastAsiaTheme="minorHAnsi" w:cs="Arial"/>
          <w:b/>
          <w:i/>
          <w:color w:val="auto"/>
        </w:rPr>
        <w:t>DfT Incentive Fund</w:t>
      </w:r>
      <w:r w:rsidRPr="00353508">
        <w:rPr>
          <w:rFonts w:eastAsiaTheme="minorHAnsi" w:cs="Arial"/>
          <w:b/>
          <w:color w:val="auto"/>
        </w:rPr>
        <w:t xml:space="preserve"> </w:t>
      </w:r>
      <w:r>
        <w:rPr>
          <w:rFonts w:eastAsiaTheme="minorHAnsi" w:cs="Arial"/>
          <w:b/>
          <w:color w:val="auto"/>
        </w:rPr>
        <w:t>–</w:t>
      </w:r>
      <w:r>
        <w:rPr>
          <w:rFonts w:eastAsiaTheme="minorHAnsi" w:cs="Arial"/>
          <w:color w:val="auto"/>
        </w:rPr>
        <w:t xml:space="preserve"> has slippage of </w:t>
      </w:r>
      <w:r w:rsidRPr="00264A0B">
        <w:rPr>
          <w:rFonts w:eastAsiaTheme="minorHAnsi" w:cs="Arial"/>
          <w:color w:val="auto"/>
        </w:rPr>
        <w:t>£0.869m.</w:t>
      </w:r>
      <w:r w:rsidRPr="00353508">
        <w:rPr>
          <w:rFonts w:eastAsiaTheme="minorHAnsi" w:cs="Arial"/>
          <w:b/>
          <w:color w:val="auto"/>
        </w:rPr>
        <w:t xml:space="preserve"> </w:t>
      </w:r>
      <w:r w:rsidRPr="00353508">
        <w:rPr>
          <w:rFonts w:eastAsiaTheme="minorHAnsi" w:cs="Arial"/>
          <w:color w:val="auto"/>
        </w:rPr>
        <w:t>A su</w:t>
      </w:r>
      <w:r>
        <w:rPr>
          <w:rFonts w:eastAsiaTheme="minorHAnsi" w:cs="Arial"/>
          <w:color w:val="auto"/>
        </w:rPr>
        <w:t>bstantial amount of the variance</w:t>
      </w:r>
      <w:r w:rsidRPr="00353508">
        <w:rPr>
          <w:rFonts w:eastAsiaTheme="minorHAnsi" w:cs="Arial"/>
          <w:color w:val="auto"/>
        </w:rPr>
        <w:t xml:space="preserve"> is due to several schemes in Wyre and the Ribble Valley needing to be programmed </w:t>
      </w:r>
      <w:r>
        <w:rPr>
          <w:rFonts w:eastAsiaTheme="minorHAnsi" w:cs="Arial"/>
          <w:color w:val="auto"/>
        </w:rPr>
        <w:t xml:space="preserve">for delivery </w:t>
      </w:r>
      <w:r w:rsidRPr="00353508">
        <w:rPr>
          <w:rFonts w:eastAsiaTheme="minorHAnsi" w:cs="Arial"/>
          <w:color w:val="auto"/>
        </w:rPr>
        <w:t>during the school holidays because of their location</w:t>
      </w:r>
      <w:r>
        <w:rPr>
          <w:rFonts w:eastAsiaTheme="minorHAnsi" w:cs="Arial"/>
          <w:color w:val="auto"/>
        </w:rPr>
        <w:t xml:space="preserve">, these will be delivered in 2018/19. </w:t>
      </w:r>
    </w:p>
    <w:p w:rsidR="00026737" w:rsidRPr="00A17B6E" w:rsidRDefault="00A953D6" w:rsidP="00026737">
      <w:pPr>
        <w:pStyle w:val="ListParagraph"/>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A4760">
        <w:rPr>
          <w:rFonts w:eastAsiaTheme="minorHAnsi" w:cs="Arial"/>
          <w:b/>
          <w:i/>
          <w:color w:val="auto"/>
        </w:rPr>
        <w:t>Roads programme</w:t>
      </w:r>
      <w:r w:rsidRPr="00353508">
        <w:rPr>
          <w:rFonts w:eastAsiaTheme="minorHAnsi" w:cs="Arial"/>
          <w:color w:val="auto"/>
        </w:rPr>
        <w:t xml:space="preserve"> has</w:t>
      </w:r>
      <w:r>
        <w:rPr>
          <w:rFonts w:eastAsiaTheme="minorHAnsi" w:cs="Arial"/>
          <w:color w:val="auto"/>
        </w:rPr>
        <w:t xml:space="preserve"> spend less than budget</w:t>
      </w:r>
      <w:r w:rsidRPr="00353508">
        <w:rPr>
          <w:rFonts w:eastAsiaTheme="minorHAnsi" w:cs="Arial"/>
          <w:color w:val="auto"/>
        </w:rPr>
        <w:t xml:space="preserve"> </w:t>
      </w:r>
      <w:r>
        <w:rPr>
          <w:rFonts w:eastAsiaTheme="minorHAnsi" w:cs="Arial"/>
          <w:color w:val="auto"/>
        </w:rPr>
        <w:t xml:space="preserve">in 2017/18 </w:t>
      </w:r>
      <w:r w:rsidRPr="00353508">
        <w:rPr>
          <w:rFonts w:eastAsiaTheme="minorHAnsi" w:cs="Arial"/>
          <w:color w:val="auto"/>
        </w:rPr>
        <w:t xml:space="preserve">of </w:t>
      </w:r>
      <w:r w:rsidRPr="00264A0B">
        <w:rPr>
          <w:rFonts w:eastAsiaTheme="minorHAnsi" w:cs="Arial"/>
          <w:color w:val="auto"/>
        </w:rPr>
        <w:t>£4.800m. In July 2017 an additional £5m was approved for Highway Maintenance.  Of this</w:t>
      </w:r>
      <w:r>
        <w:rPr>
          <w:rFonts w:eastAsiaTheme="minorHAnsi" w:cs="Arial"/>
          <w:color w:val="auto"/>
        </w:rPr>
        <w:t xml:space="preserve"> £5m, Cabinet agreed that £3m should be allocated to address deterioration to residential roads in line with the County Council's Transport Asset Management Plan and £1m be allocated to a Responsive Fund to address minor works.  In order to allow consultation with members on the development of these programmes work was finalised in January 2018 for delivery in 2018/19. A further £1m was allocated to carry out preventative defect repairs and </w:t>
      </w:r>
      <w:r w:rsidRPr="00353508">
        <w:rPr>
          <w:rFonts w:eastAsiaTheme="minorHAnsi" w:cs="Arial"/>
          <w:color w:val="auto"/>
        </w:rPr>
        <w:t xml:space="preserve">£0.200m </w:t>
      </w:r>
      <w:r>
        <w:rPr>
          <w:rFonts w:eastAsiaTheme="minorHAnsi" w:cs="Arial"/>
          <w:color w:val="auto"/>
        </w:rPr>
        <w:t xml:space="preserve">has been spent </w:t>
      </w:r>
      <w:r w:rsidRPr="00353508">
        <w:rPr>
          <w:rFonts w:eastAsiaTheme="minorHAnsi" w:cs="Arial"/>
          <w:color w:val="auto"/>
        </w:rPr>
        <w:t>in 20</w:t>
      </w:r>
      <w:r>
        <w:rPr>
          <w:rFonts w:eastAsiaTheme="minorHAnsi" w:cs="Arial"/>
          <w:color w:val="auto"/>
        </w:rPr>
        <w:t xml:space="preserve">17/18 with the remainder being slipped to be programmed for delivery in 2018/19.  </w:t>
      </w:r>
    </w:p>
    <w:p w:rsidR="00026737" w:rsidRDefault="00A953D6" w:rsidP="00026737">
      <w:pPr>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996A11">
        <w:rPr>
          <w:rFonts w:eastAsiaTheme="minorHAnsi" w:cs="Arial"/>
          <w:b/>
          <w:i/>
          <w:color w:val="auto"/>
        </w:rPr>
        <w:t>Tawd Valley Cycle Way</w:t>
      </w:r>
      <w:r>
        <w:rPr>
          <w:rFonts w:eastAsiaTheme="minorHAnsi" w:cs="Arial"/>
          <w:b/>
          <w:color w:val="auto"/>
        </w:rPr>
        <w:t xml:space="preserve"> </w:t>
      </w:r>
      <w:r>
        <w:rPr>
          <w:rFonts w:eastAsiaTheme="minorHAnsi" w:cs="Arial"/>
          <w:color w:val="auto"/>
        </w:rPr>
        <w:t xml:space="preserve">– Slippage of £0.440m has occurred in 2017/18 due to time delays on agreement of design to be delivered.  The scheme is scheduled to complete in 2018/19. </w:t>
      </w:r>
    </w:p>
    <w:p w:rsidR="00026737" w:rsidRPr="00353508"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353508">
        <w:rPr>
          <w:rFonts w:eastAsiaTheme="minorHAnsi" w:cs="Arial"/>
          <w:color w:val="auto"/>
        </w:rPr>
        <w:t xml:space="preserve">There is a further </w:t>
      </w:r>
      <w:r w:rsidRPr="00264A0B">
        <w:rPr>
          <w:rFonts w:eastAsiaTheme="minorHAnsi" w:cs="Arial"/>
          <w:color w:val="auto"/>
        </w:rPr>
        <w:t>£2.007m</w:t>
      </w:r>
      <w:r>
        <w:rPr>
          <w:rFonts w:eastAsiaTheme="minorHAnsi" w:cs="Arial"/>
          <w:color w:val="auto"/>
        </w:rPr>
        <w:t xml:space="preserve"> slippage </w:t>
      </w:r>
      <w:r w:rsidRPr="00353508">
        <w:rPr>
          <w:rFonts w:eastAsiaTheme="minorHAnsi" w:cs="Arial"/>
          <w:color w:val="auto"/>
        </w:rPr>
        <w:t xml:space="preserve">within Highways which covers variations of budget across </w:t>
      </w:r>
      <w:r>
        <w:rPr>
          <w:rFonts w:eastAsiaTheme="minorHAnsi" w:cs="Arial"/>
          <w:color w:val="auto"/>
        </w:rPr>
        <w:t>c</w:t>
      </w:r>
      <w:r w:rsidRPr="00353508">
        <w:rPr>
          <w:rFonts w:eastAsiaTheme="minorHAnsi" w:cs="Arial"/>
          <w:color w:val="auto"/>
        </w:rPr>
        <w:t>1</w:t>
      </w:r>
      <w:r>
        <w:rPr>
          <w:rFonts w:eastAsiaTheme="minorHAnsi" w:cs="Arial"/>
          <w:color w:val="auto"/>
        </w:rPr>
        <w:t>30</w:t>
      </w:r>
      <w:r w:rsidRPr="00353508">
        <w:rPr>
          <w:rFonts w:eastAsiaTheme="minorHAnsi" w:cs="Arial"/>
          <w:color w:val="auto"/>
        </w:rPr>
        <w:t xml:space="preserve"> schemes</w:t>
      </w:r>
      <w:r>
        <w:rPr>
          <w:rFonts w:eastAsiaTheme="minorHAnsi" w:cs="Arial"/>
          <w:color w:val="auto"/>
        </w:rPr>
        <w:t xml:space="preserve"> in other programmes including Public Rights of Way, Local Neighbourhood Priorities, Flood Risk Schemes, Road Surfacing, Strategic Prevention and Road Safety. </w:t>
      </w:r>
    </w:p>
    <w:p w:rsidR="00026737" w:rsidRDefault="00A953D6" w:rsidP="00026737">
      <w:pPr>
        <w:autoSpaceDE/>
        <w:autoSpaceDN/>
        <w:adjustRightInd/>
        <w:spacing w:after="0" w:line="259" w:lineRule="auto"/>
        <w:jc w:val="left"/>
        <w:rPr>
          <w:rFonts w:eastAsiaTheme="minorHAnsi" w:cs="Arial"/>
          <w:color w:val="auto"/>
        </w:rPr>
      </w:pPr>
    </w:p>
    <w:p w:rsidR="00790708" w:rsidRDefault="00A953D6" w:rsidP="00026737">
      <w:pPr>
        <w:autoSpaceDE/>
        <w:autoSpaceDN/>
        <w:adjustRightInd/>
        <w:spacing w:after="0" w:line="259" w:lineRule="auto"/>
        <w:jc w:val="left"/>
        <w:rPr>
          <w:rFonts w:eastAsiaTheme="minorHAnsi" w:cs="Arial"/>
          <w:color w:val="auto"/>
        </w:rPr>
      </w:pPr>
    </w:p>
    <w:p w:rsidR="00790708" w:rsidRDefault="00A953D6" w:rsidP="00026737">
      <w:pPr>
        <w:autoSpaceDE/>
        <w:autoSpaceDN/>
        <w:adjustRightInd/>
        <w:spacing w:after="0" w:line="259" w:lineRule="auto"/>
        <w:jc w:val="left"/>
        <w:rPr>
          <w:rFonts w:eastAsiaTheme="minorHAnsi" w:cs="Arial"/>
          <w:color w:val="auto"/>
        </w:rPr>
      </w:pPr>
    </w:p>
    <w:p w:rsidR="00790708" w:rsidRDefault="00A953D6" w:rsidP="00026737">
      <w:pPr>
        <w:autoSpaceDE/>
        <w:autoSpaceDN/>
        <w:adjustRightInd/>
        <w:spacing w:after="0" w:line="259" w:lineRule="auto"/>
        <w:jc w:val="left"/>
        <w:rPr>
          <w:rFonts w:eastAsiaTheme="minorHAnsi" w:cs="Arial"/>
          <w:color w:val="auto"/>
        </w:rPr>
      </w:pPr>
    </w:p>
    <w:p w:rsidR="00026737" w:rsidRPr="00735826" w:rsidRDefault="008A011B" w:rsidP="00026737">
      <w:pPr>
        <w:spacing w:after="0"/>
        <w:rPr>
          <w:rFonts w:cs="Arial"/>
          <w:b/>
          <w:u w:val="single"/>
        </w:rPr>
      </w:pPr>
      <w:r>
        <w:rPr>
          <w:rFonts w:cs="Arial"/>
          <w:b/>
          <w:u w:val="single"/>
        </w:rPr>
        <w:lastRenderedPageBreak/>
        <w:t xml:space="preserve">4.4 </w:t>
      </w:r>
      <w:r w:rsidRPr="00735826">
        <w:rPr>
          <w:rFonts w:cs="Arial"/>
          <w:b/>
          <w:u w:val="single"/>
        </w:rPr>
        <w:t>Transport</w:t>
      </w:r>
    </w:p>
    <w:p w:rsidR="00026737" w:rsidRPr="00735826" w:rsidRDefault="00A953D6" w:rsidP="00026737">
      <w:pPr>
        <w:spacing w:after="0"/>
        <w:rPr>
          <w:rFonts w:cs="Arial"/>
          <w:b/>
          <w:u w:val="single"/>
        </w:rPr>
      </w:pPr>
    </w:p>
    <w:p w:rsidR="00026737" w:rsidRDefault="008A011B" w:rsidP="00026737">
      <w:pPr>
        <w:autoSpaceDE/>
        <w:autoSpaceDN/>
        <w:adjustRightInd/>
        <w:spacing w:after="0" w:line="259" w:lineRule="auto"/>
        <w:rPr>
          <w:rFonts w:eastAsiaTheme="minorHAnsi" w:cs="Arial"/>
          <w:color w:val="auto"/>
        </w:rPr>
      </w:pPr>
      <w:r w:rsidRPr="00A17B6E">
        <w:rPr>
          <w:rFonts w:eastAsiaTheme="minorHAnsi" w:cs="Arial"/>
          <w:color w:val="auto"/>
        </w:rPr>
        <w:t>The 2017/18 delivery programme budget for the Transport block of the capital programme was £38.194m. Outturn expenditure was £17.658m, representing expenditure less than budget of £20.536m.</w:t>
      </w:r>
      <w:r>
        <w:rPr>
          <w:rFonts w:eastAsiaTheme="minorHAnsi" w:cs="Arial"/>
          <w:color w:val="auto"/>
        </w:rPr>
        <w:t xml:space="preserve"> This is £15.914m of slippage and £4.622m of amounts which at 31</w:t>
      </w:r>
      <w:r w:rsidRPr="00B2550F">
        <w:rPr>
          <w:rFonts w:eastAsiaTheme="minorHAnsi" w:cs="Arial"/>
          <w:color w:val="auto"/>
          <w:vertAlign w:val="superscript"/>
        </w:rPr>
        <w:t>st</w:t>
      </w:r>
      <w:r>
        <w:rPr>
          <w:rFonts w:eastAsiaTheme="minorHAnsi" w:cs="Arial"/>
          <w:color w:val="auto"/>
        </w:rPr>
        <w:t xml:space="preserve"> March 2018 were not allocated to projects, although this has been allocated to projects in 2018/19.  </w:t>
      </w:r>
    </w:p>
    <w:p w:rsidR="00026737" w:rsidRPr="00A17B6E"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4D76E0">
        <w:rPr>
          <w:rFonts w:eastAsiaTheme="minorHAnsi" w:cs="Arial"/>
          <w:color w:val="auto"/>
        </w:rPr>
        <w:t>At December monitoring, slippage of £5.845m was reported with a risk of further slippage of £12.865m</w:t>
      </w:r>
      <w:r>
        <w:rPr>
          <w:rFonts w:eastAsiaTheme="minorHAnsi" w:cs="Arial"/>
          <w:color w:val="auto"/>
        </w:rPr>
        <w:t xml:space="preserve"> due to budgets not yet allocated to projects, as at March 2018 these have still not been spent. </w:t>
      </w:r>
    </w:p>
    <w:p w:rsidR="00026737" w:rsidRDefault="00A953D6" w:rsidP="00026737">
      <w:pPr>
        <w:autoSpaceDE/>
        <w:autoSpaceDN/>
        <w:adjustRightInd/>
        <w:spacing w:after="0" w:line="259" w:lineRule="auto"/>
        <w:jc w:val="left"/>
        <w:rPr>
          <w:rFonts w:eastAsiaTheme="minorHAnsi" w:cs="Arial"/>
          <w:color w:val="auto"/>
        </w:rPr>
      </w:pPr>
    </w:p>
    <w:p w:rsidR="00026737" w:rsidRPr="00200235" w:rsidRDefault="008A011B" w:rsidP="00026737">
      <w:pPr>
        <w:spacing w:after="0"/>
        <w:rPr>
          <w:rFonts w:cs="Arial"/>
          <w:color w:val="000000" w:themeColor="text1"/>
        </w:rPr>
      </w:pPr>
      <w:r>
        <w:rPr>
          <w:rFonts w:cs="Arial"/>
          <w:color w:val="000000" w:themeColor="text1"/>
        </w:rPr>
        <w:t>Significant in year variances</w:t>
      </w:r>
      <w:r w:rsidRPr="00200235">
        <w:rPr>
          <w:rFonts w:cs="Arial"/>
          <w:color w:val="000000" w:themeColor="text1"/>
        </w:rPr>
        <w:t xml:space="preserve"> at 31</w:t>
      </w:r>
      <w:r w:rsidRPr="00200235">
        <w:rPr>
          <w:rFonts w:cs="Arial"/>
          <w:color w:val="000000" w:themeColor="text1"/>
          <w:vertAlign w:val="superscript"/>
        </w:rPr>
        <w:t>st</w:t>
      </w:r>
      <w:r w:rsidRPr="00200235">
        <w:rPr>
          <w:rFonts w:cs="Arial"/>
          <w:color w:val="000000" w:themeColor="text1"/>
        </w:rPr>
        <w:t xml:space="preserve"> March 2018 </w:t>
      </w:r>
      <w:r>
        <w:rPr>
          <w:rFonts w:cs="Arial"/>
          <w:color w:val="000000" w:themeColor="text1"/>
        </w:rPr>
        <w:t>are</w:t>
      </w:r>
      <w:r w:rsidRPr="00200235">
        <w:rPr>
          <w:rFonts w:cs="Arial"/>
          <w:color w:val="000000" w:themeColor="text1"/>
        </w:rPr>
        <w:t xml:space="preserve">:- </w:t>
      </w:r>
    </w:p>
    <w:p w:rsidR="00026737" w:rsidRPr="004D76E0" w:rsidRDefault="00A953D6" w:rsidP="00026737">
      <w:pPr>
        <w:autoSpaceDE/>
        <w:autoSpaceDN/>
        <w:adjustRightInd/>
        <w:spacing w:after="0" w:line="259" w:lineRule="auto"/>
        <w:jc w:val="left"/>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Burnley Pendle Growth corridor</w:t>
      </w:r>
      <w:r>
        <w:rPr>
          <w:rFonts w:eastAsiaTheme="minorHAnsi" w:cs="Arial"/>
          <w:b/>
          <w:color w:val="auto"/>
        </w:rPr>
        <w:t xml:space="preserve"> </w:t>
      </w:r>
      <w:r>
        <w:rPr>
          <w:rFonts w:eastAsiaTheme="minorHAnsi" w:cs="Arial"/>
          <w:color w:val="auto"/>
        </w:rPr>
        <w:t>–</w:t>
      </w:r>
      <w:r w:rsidRPr="004D76E0">
        <w:rPr>
          <w:rFonts w:eastAsiaTheme="minorHAnsi" w:cs="Arial"/>
          <w:color w:val="auto"/>
        </w:rPr>
        <w:t xml:space="preserve"> </w:t>
      </w:r>
      <w:r>
        <w:rPr>
          <w:rFonts w:eastAsiaTheme="minorHAnsi" w:cs="Arial"/>
          <w:color w:val="auto"/>
        </w:rPr>
        <w:t>in year slippage of £2.043m. Actual expenditure</w:t>
      </w:r>
      <w:r w:rsidRPr="004D76E0">
        <w:rPr>
          <w:rFonts w:eastAsiaTheme="minorHAnsi" w:cs="Arial"/>
          <w:color w:val="auto"/>
        </w:rPr>
        <w:t xml:space="preserve"> </w:t>
      </w:r>
      <w:r>
        <w:rPr>
          <w:rFonts w:eastAsiaTheme="minorHAnsi" w:cs="Arial"/>
          <w:color w:val="auto"/>
        </w:rPr>
        <w:t>in year is £4.284m against a delivery programme of £6.327m. The delays have been due to time taken to consult on design of various stages and work is still ongoing with third parties to resolve land access issues and delivery will be slipped into 2018/19 and later years.  T</w:t>
      </w:r>
      <w:r w:rsidRPr="004D76E0">
        <w:rPr>
          <w:rFonts w:eastAsiaTheme="minorHAnsi" w:cs="Arial"/>
          <w:color w:val="auto"/>
        </w:rPr>
        <w:t xml:space="preserve">his </w:t>
      </w:r>
      <w:r>
        <w:rPr>
          <w:rFonts w:eastAsiaTheme="minorHAnsi" w:cs="Arial"/>
          <w:color w:val="auto"/>
        </w:rPr>
        <w:t xml:space="preserve">£13m multiyear </w:t>
      </w:r>
      <w:r w:rsidRPr="004D76E0">
        <w:rPr>
          <w:rFonts w:eastAsiaTheme="minorHAnsi" w:cs="Arial"/>
          <w:color w:val="auto"/>
        </w:rPr>
        <w:t>programme of works</w:t>
      </w:r>
      <w:r>
        <w:rPr>
          <w:rFonts w:eastAsiaTheme="minorHAnsi" w:cs="Arial"/>
          <w:color w:val="auto"/>
        </w:rPr>
        <w:t>, which is underpinned by £8m funding from Lancashire's Growth Deal,</w:t>
      </w:r>
      <w:r w:rsidRPr="004D76E0">
        <w:rPr>
          <w:rFonts w:eastAsiaTheme="minorHAnsi" w:cs="Arial"/>
          <w:color w:val="auto"/>
        </w:rPr>
        <w:t xml:space="preserve"> is a scheme of alterations to junctions on the M65 </w:t>
      </w:r>
      <w:r>
        <w:rPr>
          <w:rFonts w:eastAsiaTheme="minorHAnsi" w:cs="Arial"/>
          <w:color w:val="auto"/>
        </w:rPr>
        <w:t xml:space="preserve">corridor </w:t>
      </w:r>
      <w:r w:rsidRPr="004D76E0">
        <w:rPr>
          <w:rFonts w:eastAsiaTheme="minorHAnsi" w:cs="Arial"/>
          <w:color w:val="auto"/>
        </w:rPr>
        <w:t xml:space="preserve">and surrounding road networks due to fully complete by March 2020. </w:t>
      </w:r>
    </w:p>
    <w:p w:rsidR="00026737"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4D76E0">
        <w:rPr>
          <w:rFonts w:eastAsiaTheme="minorHAnsi" w:cs="Arial"/>
          <w:color w:val="auto"/>
        </w:rPr>
        <w:t xml:space="preserve">Prior years have seen the improvements at Junction 12, Junction 7, Dunkenhalgh </w:t>
      </w:r>
      <w:r>
        <w:rPr>
          <w:rFonts w:eastAsiaTheme="minorHAnsi" w:cs="Arial"/>
          <w:color w:val="auto"/>
        </w:rPr>
        <w:t>W</w:t>
      </w:r>
      <w:r w:rsidRPr="004D76E0">
        <w:rPr>
          <w:rFonts w:eastAsiaTheme="minorHAnsi" w:cs="Arial"/>
          <w:color w:val="auto"/>
        </w:rPr>
        <w:t>ay and improvements to Rosegrove Station. In 2017/18 improvements to M65 Junction 13 and works on Hyndburn R</w:t>
      </w:r>
      <w:r>
        <w:rPr>
          <w:rFonts w:eastAsiaTheme="minorHAnsi" w:cs="Arial"/>
          <w:color w:val="auto"/>
        </w:rPr>
        <w:t>oad have been completed.  F</w:t>
      </w:r>
      <w:r w:rsidRPr="004D76E0">
        <w:rPr>
          <w:rFonts w:eastAsiaTheme="minorHAnsi" w:cs="Arial"/>
          <w:color w:val="auto"/>
        </w:rPr>
        <w:t xml:space="preserve">urther works </w:t>
      </w:r>
      <w:r>
        <w:rPr>
          <w:rFonts w:eastAsiaTheme="minorHAnsi" w:cs="Arial"/>
          <w:color w:val="auto"/>
        </w:rPr>
        <w:t>that have already commenced</w:t>
      </w:r>
      <w:r w:rsidRPr="004D76E0">
        <w:rPr>
          <w:rFonts w:eastAsiaTheme="minorHAnsi" w:cs="Arial"/>
          <w:color w:val="auto"/>
        </w:rPr>
        <w:t xml:space="preserve"> ar</w:t>
      </w:r>
      <w:r>
        <w:rPr>
          <w:rFonts w:eastAsiaTheme="minorHAnsi" w:cs="Arial"/>
          <w:color w:val="auto"/>
        </w:rPr>
        <w:t xml:space="preserve">e due to complete by May 2018, </w:t>
      </w:r>
      <w:r w:rsidRPr="004D76E0">
        <w:rPr>
          <w:rFonts w:eastAsiaTheme="minorHAnsi" w:cs="Arial"/>
          <w:color w:val="auto"/>
        </w:rPr>
        <w:t xml:space="preserve">whilst other later stages are currently at design or planning stage. </w:t>
      </w:r>
      <w:r>
        <w:rPr>
          <w:rFonts w:eastAsiaTheme="minorHAnsi" w:cs="Arial"/>
          <w:color w:val="auto"/>
        </w:rPr>
        <w:t xml:space="preserve">Works costs to date have been accommodated within the programme budget.  Further stages will be designed to ensure the programme remains within budget.  </w:t>
      </w:r>
    </w:p>
    <w:p w:rsidR="00026737" w:rsidRPr="004D76E0" w:rsidRDefault="00A953D6" w:rsidP="00026737">
      <w:pPr>
        <w:autoSpaceDE/>
        <w:autoSpaceDN/>
        <w:adjustRightInd/>
        <w:spacing w:after="0" w:line="259" w:lineRule="auto"/>
        <w:rPr>
          <w:rFonts w:eastAsiaTheme="minorHAnsi" w:cs="Arial"/>
          <w:color w:val="auto"/>
          <w:u w:val="single"/>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East Lancs Cycle Way</w:t>
      </w:r>
      <w:r w:rsidRPr="004D76E0">
        <w:rPr>
          <w:rFonts w:eastAsiaTheme="minorHAnsi" w:cs="Arial"/>
          <w:color w:val="auto"/>
        </w:rPr>
        <w:t xml:space="preserve"> </w:t>
      </w:r>
      <w:r>
        <w:rPr>
          <w:rFonts w:eastAsiaTheme="minorHAnsi" w:cs="Arial"/>
          <w:color w:val="auto"/>
        </w:rPr>
        <w:t>–</w:t>
      </w:r>
      <w:r w:rsidRPr="004D76E0">
        <w:rPr>
          <w:rFonts w:eastAsiaTheme="minorHAnsi" w:cs="Arial"/>
          <w:color w:val="auto"/>
        </w:rPr>
        <w:t xml:space="preserve"> </w:t>
      </w:r>
      <w:r>
        <w:rPr>
          <w:rFonts w:eastAsiaTheme="minorHAnsi" w:cs="Arial"/>
          <w:color w:val="auto"/>
        </w:rPr>
        <w:t xml:space="preserve">In year slippage of £1.000m. </w:t>
      </w:r>
      <w:r w:rsidRPr="004D76E0">
        <w:rPr>
          <w:rFonts w:eastAsiaTheme="minorHAnsi" w:cs="Arial"/>
          <w:color w:val="auto"/>
        </w:rPr>
        <w:t xml:space="preserve">This </w:t>
      </w:r>
      <w:r>
        <w:rPr>
          <w:rFonts w:eastAsiaTheme="minorHAnsi" w:cs="Arial"/>
          <w:color w:val="auto"/>
        </w:rPr>
        <w:t xml:space="preserve">£6m multiyear </w:t>
      </w:r>
      <w:r w:rsidRPr="004D76E0">
        <w:rPr>
          <w:rFonts w:eastAsiaTheme="minorHAnsi" w:cs="Arial"/>
          <w:color w:val="auto"/>
        </w:rPr>
        <w:t>programme of works</w:t>
      </w:r>
      <w:r>
        <w:rPr>
          <w:rFonts w:eastAsiaTheme="minorHAnsi" w:cs="Arial"/>
          <w:color w:val="auto"/>
        </w:rPr>
        <w:t xml:space="preserve">, which is supported by £2.6m from Lancashire's Growth Deal, </w:t>
      </w:r>
      <w:r w:rsidRPr="004D76E0">
        <w:rPr>
          <w:rFonts w:eastAsiaTheme="minorHAnsi" w:cs="Arial"/>
          <w:color w:val="auto"/>
        </w:rPr>
        <w:t>is a</w:t>
      </w:r>
      <w:r>
        <w:rPr>
          <w:rFonts w:eastAsiaTheme="minorHAnsi" w:cs="Arial"/>
          <w:color w:val="auto"/>
        </w:rPr>
        <w:t xml:space="preserve"> partnership project enhancing existing </w:t>
      </w:r>
      <w:r w:rsidRPr="004D76E0">
        <w:rPr>
          <w:rFonts w:eastAsiaTheme="minorHAnsi" w:cs="Arial"/>
          <w:color w:val="auto"/>
        </w:rPr>
        <w:t xml:space="preserve">and creating </w:t>
      </w:r>
      <w:r>
        <w:rPr>
          <w:rFonts w:eastAsiaTheme="minorHAnsi" w:cs="Arial"/>
          <w:color w:val="auto"/>
        </w:rPr>
        <w:t>30km of cycle way in East Lancashire and Blackburn to improve access to employment, places of education and other services and provide leisure, health and tourism opportunities. T</w:t>
      </w:r>
      <w:r w:rsidRPr="004D76E0">
        <w:rPr>
          <w:rFonts w:eastAsiaTheme="minorHAnsi" w:cs="Arial"/>
          <w:color w:val="auto"/>
        </w:rPr>
        <w:t>he works</w:t>
      </w:r>
      <w:r>
        <w:rPr>
          <w:rFonts w:eastAsiaTheme="minorHAnsi" w:cs="Arial"/>
          <w:color w:val="auto"/>
        </w:rPr>
        <w:t xml:space="preserve"> were originally </w:t>
      </w:r>
      <w:r w:rsidRPr="004D76E0">
        <w:rPr>
          <w:rFonts w:eastAsiaTheme="minorHAnsi" w:cs="Arial"/>
          <w:color w:val="auto"/>
        </w:rPr>
        <w:t xml:space="preserve">due to </w:t>
      </w:r>
      <w:r>
        <w:rPr>
          <w:rFonts w:eastAsiaTheme="minorHAnsi" w:cs="Arial"/>
          <w:color w:val="auto"/>
        </w:rPr>
        <w:t xml:space="preserve">be </w:t>
      </w:r>
      <w:r w:rsidRPr="004D76E0">
        <w:rPr>
          <w:rFonts w:eastAsiaTheme="minorHAnsi" w:cs="Arial"/>
          <w:color w:val="auto"/>
        </w:rPr>
        <w:t>complete</w:t>
      </w:r>
      <w:r>
        <w:rPr>
          <w:rFonts w:eastAsiaTheme="minorHAnsi" w:cs="Arial"/>
          <w:color w:val="auto"/>
        </w:rPr>
        <w:t>d</w:t>
      </w:r>
      <w:r w:rsidRPr="004D76E0">
        <w:rPr>
          <w:rFonts w:eastAsiaTheme="minorHAnsi" w:cs="Arial"/>
          <w:color w:val="auto"/>
        </w:rPr>
        <w:t xml:space="preserve"> by November 2</w:t>
      </w:r>
      <w:r>
        <w:rPr>
          <w:rFonts w:eastAsiaTheme="minorHAnsi" w:cs="Arial"/>
          <w:color w:val="auto"/>
        </w:rPr>
        <w:t>018. T</w:t>
      </w:r>
      <w:r w:rsidRPr="004D76E0">
        <w:rPr>
          <w:rFonts w:eastAsiaTheme="minorHAnsi" w:cs="Arial"/>
          <w:color w:val="auto"/>
        </w:rPr>
        <w:t>here have been bud</w:t>
      </w:r>
      <w:r>
        <w:rPr>
          <w:rFonts w:eastAsiaTheme="minorHAnsi" w:cs="Arial"/>
          <w:color w:val="auto"/>
        </w:rPr>
        <w:t>get pressures identified in delivering</w:t>
      </w:r>
      <w:r w:rsidRPr="004D76E0">
        <w:rPr>
          <w:rFonts w:eastAsiaTheme="minorHAnsi" w:cs="Arial"/>
          <w:color w:val="auto"/>
        </w:rPr>
        <w:t xml:space="preserve"> the </w:t>
      </w:r>
      <w:r>
        <w:rPr>
          <w:rFonts w:eastAsiaTheme="minorHAnsi" w:cs="Arial"/>
          <w:color w:val="auto"/>
        </w:rPr>
        <w:t xml:space="preserve">delivery of </w:t>
      </w:r>
      <w:r w:rsidRPr="004D76E0">
        <w:rPr>
          <w:rFonts w:eastAsiaTheme="minorHAnsi" w:cs="Arial"/>
          <w:color w:val="auto"/>
        </w:rPr>
        <w:t>pro</w:t>
      </w:r>
      <w:r>
        <w:rPr>
          <w:rFonts w:eastAsiaTheme="minorHAnsi" w:cs="Arial"/>
          <w:color w:val="auto"/>
        </w:rPr>
        <w:t>gramme</w:t>
      </w:r>
      <w:r w:rsidRPr="004D76E0">
        <w:rPr>
          <w:rFonts w:eastAsiaTheme="minorHAnsi" w:cs="Arial"/>
          <w:color w:val="auto"/>
        </w:rPr>
        <w:t>, mainly due to changes to design and intended treatments following public consultation</w:t>
      </w:r>
      <w:r>
        <w:rPr>
          <w:rFonts w:eastAsiaTheme="minorHAnsi" w:cs="Arial"/>
          <w:color w:val="auto"/>
        </w:rPr>
        <w:t xml:space="preserve">s for which </w:t>
      </w:r>
      <w:r w:rsidRPr="004D76E0">
        <w:rPr>
          <w:rFonts w:eastAsiaTheme="minorHAnsi" w:cs="Arial"/>
          <w:color w:val="auto"/>
        </w:rPr>
        <w:t>additional funding</w:t>
      </w:r>
      <w:r>
        <w:rPr>
          <w:rFonts w:eastAsiaTheme="minorHAnsi" w:cs="Arial"/>
          <w:color w:val="auto"/>
        </w:rPr>
        <w:t xml:space="preserve"> and project timescales</w:t>
      </w:r>
      <w:r w:rsidRPr="004D76E0">
        <w:rPr>
          <w:rFonts w:eastAsiaTheme="minorHAnsi" w:cs="Arial"/>
          <w:color w:val="auto"/>
        </w:rPr>
        <w:t xml:space="preserve"> </w:t>
      </w:r>
      <w:r>
        <w:rPr>
          <w:rFonts w:eastAsiaTheme="minorHAnsi" w:cs="Arial"/>
          <w:color w:val="auto"/>
        </w:rPr>
        <w:t xml:space="preserve">were </w:t>
      </w:r>
      <w:r w:rsidRPr="004D76E0">
        <w:rPr>
          <w:rFonts w:eastAsiaTheme="minorHAnsi" w:cs="Arial"/>
          <w:color w:val="auto"/>
        </w:rPr>
        <w:t>agreed</w:t>
      </w:r>
      <w:r>
        <w:rPr>
          <w:rFonts w:eastAsiaTheme="minorHAnsi" w:cs="Arial"/>
          <w:color w:val="auto"/>
        </w:rPr>
        <w:t xml:space="preserve">. </w:t>
      </w:r>
      <w:r w:rsidRPr="00350926">
        <w:rPr>
          <w:rFonts w:cs="Arial"/>
          <w:color w:val="000000" w:themeColor="text1"/>
        </w:rPr>
        <w:t>Highways England were due to deliver some sections of the cycleway adjacent to the A56, and have mostly completed their designs.  However, Highways England has</w:t>
      </w:r>
      <w:r>
        <w:rPr>
          <w:rFonts w:cs="Arial"/>
          <w:color w:val="000000" w:themeColor="text1"/>
        </w:rPr>
        <w:t xml:space="preserve"> now</w:t>
      </w:r>
      <w:r w:rsidRPr="00350926">
        <w:rPr>
          <w:rFonts w:cs="Arial"/>
          <w:color w:val="000000" w:themeColor="text1"/>
        </w:rPr>
        <w:t xml:space="preserve"> asked whether the County Council could deliver these sections instead (with full funding from Highways England) because of capacity problems they are experiencing.  This means the timescale for the scheme needs to be extended, and in May 2018 Cabinet</w:t>
      </w:r>
      <w:r w:rsidRPr="00350926">
        <w:rPr>
          <w:rFonts w:eastAsiaTheme="minorHAnsi" w:cs="Arial"/>
          <w:color w:val="000000" w:themeColor="text1"/>
        </w:rPr>
        <w:t xml:space="preserve"> approved the programme to be extended by 12 months until March 2020. </w:t>
      </w:r>
      <w:r>
        <w:rPr>
          <w:rFonts w:eastAsiaTheme="minorHAnsi" w:cs="Arial"/>
          <w:color w:val="000000" w:themeColor="text1"/>
        </w:rPr>
        <w:t xml:space="preserve"> </w:t>
      </w:r>
    </w:p>
    <w:p w:rsidR="00026737" w:rsidRPr="004D76E0" w:rsidRDefault="00A953D6" w:rsidP="00026737">
      <w:pPr>
        <w:autoSpaceDE/>
        <w:autoSpaceDN/>
        <w:adjustRightInd/>
        <w:spacing w:after="0" w:line="259" w:lineRule="auto"/>
        <w:rPr>
          <w:rFonts w:eastAsiaTheme="minorHAnsi" w:cs="Arial"/>
          <w:color w:val="auto"/>
        </w:rPr>
      </w:pPr>
    </w:p>
    <w:p w:rsidR="00026737" w:rsidRDefault="008A011B" w:rsidP="0077012B">
      <w:pPr>
        <w:autoSpaceDE/>
        <w:autoSpaceDN/>
        <w:adjustRightInd/>
        <w:spacing w:after="0" w:line="259" w:lineRule="auto"/>
        <w:rPr>
          <w:rFonts w:eastAsiaTheme="minorHAnsi" w:cs="Arial"/>
          <w:color w:val="auto"/>
        </w:rPr>
      </w:pPr>
      <w:r w:rsidRPr="006230B5">
        <w:rPr>
          <w:rFonts w:eastAsiaTheme="minorHAnsi" w:cs="Arial"/>
          <w:b/>
          <w:i/>
          <w:color w:val="auto"/>
        </w:rPr>
        <w:t>Skelmersdale Rail link</w:t>
      </w:r>
      <w:r>
        <w:rPr>
          <w:rFonts w:eastAsiaTheme="minorHAnsi" w:cs="Arial"/>
          <w:b/>
          <w:i/>
          <w:color w:val="auto"/>
        </w:rPr>
        <w:t xml:space="preserve"> and associated project - </w:t>
      </w:r>
      <w:r w:rsidRPr="00790708">
        <w:rPr>
          <w:rFonts w:eastAsiaTheme="minorHAnsi" w:cs="Arial"/>
          <w:color w:val="auto"/>
        </w:rPr>
        <w:t>In</w:t>
      </w:r>
      <w:r>
        <w:rPr>
          <w:rFonts w:eastAsiaTheme="minorHAnsi" w:cs="Arial"/>
          <w:color w:val="auto"/>
        </w:rPr>
        <w:t xml:space="preserve"> year slippage of £2.742m. </w:t>
      </w:r>
      <w:r w:rsidRPr="004D76E0">
        <w:rPr>
          <w:rFonts w:eastAsiaTheme="minorHAnsi" w:cs="Arial"/>
          <w:color w:val="auto"/>
        </w:rPr>
        <w:t xml:space="preserve"> The overall </w:t>
      </w:r>
      <w:r>
        <w:rPr>
          <w:rFonts w:eastAsiaTheme="minorHAnsi" w:cs="Arial"/>
          <w:color w:val="auto"/>
        </w:rPr>
        <w:t xml:space="preserve">multi-year </w:t>
      </w:r>
      <w:r w:rsidRPr="004D76E0">
        <w:rPr>
          <w:rFonts w:eastAsiaTheme="minorHAnsi" w:cs="Arial"/>
          <w:color w:val="auto"/>
        </w:rPr>
        <w:t>programme</w:t>
      </w:r>
      <w:r>
        <w:rPr>
          <w:rFonts w:eastAsiaTheme="minorHAnsi" w:cs="Arial"/>
          <w:color w:val="auto"/>
        </w:rPr>
        <w:t xml:space="preserve"> budget of £6.48m includes £5.1m funding to develop </w:t>
      </w:r>
      <w:r w:rsidRPr="004D76E0">
        <w:rPr>
          <w:rFonts w:eastAsiaTheme="minorHAnsi" w:cs="Arial"/>
          <w:color w:val="auto"/>
        </w:rPr>
        <w:lastRenderedPageBreak/>
        <w:t>the station business case and</w:t>
      </w:r>
      <w:r>
        <w:rPr>
          <w:rFonts w:eastAsiaTheme="minorHAnsi" w:cs="Arial"/>
          <w:color w:val="auto"/>
        </w:rPr>
        <w:t xml:space="preserve"> £1.38m to demolish Glenburn C</w:t>
      </w:r>
      <w:r w:rsidRPr="004D76E0">
        <w:rPr>
          <w:rFonts w:eastAsiaTheme="minorHAnsi" w:cs="Arial"/>
          <w:color w:val="auto"/>
        </w:rPr>
        <w:t>ollege campus</w:t>
      </w:r>
      <w:r>
        <w:rPr>
          <w:rFonts w:eastAsiaTheme="minorHAnsi" w:cs="Arial"/>
          <w:color w:val="auto"/>
        </w:rPr>
        <w:t xml:space="preserve"> in the years 2016/17 to 2018/19</w:t>
      </w:r>
      <w:r w:rsidRPr="004D76E0">
        <w:rPr>
          <w:rFonts w:eastAsiaTheme="minorHAnsi" w:cs="Arial"/>
          <w:color w:val="auto"/>
        </w:rPr>
        <w:t xml:space="preserve">.  The </w:t>
      </w:r>
      <w:r>
        <w:rPr>
          <w:rFonts w:eastAsiaTheme="minorHAnsi" w:cs="Arial"/>
          <w:color w:val="auto"/>
        </w:rPr>
        <w:t xml:space="preserve">expected </w:t>
      </w:r>
      <w:r w:rsidRPr="004D76E0">
        <w:rPr>
          <w:rFonts w:eastAsiaTheme="minorHAnsi" w:cs="Arial"/>
          <w:color w:val="auto"/>
        </w:rPr>
        <w:t xml:space="preserve">delivery programme for </w:t>
      </w:r>
      <w:r>
        <w:rPr>
          <w:rFonts w:eastAsiaTheme="minorHAnsi" w:cs="Arial"/>
          <w:color w:val="auto"/>
        </w:rPr>
        <w:t xml:space="preserve">the whole scheme in </w:t>
      </w:r>
      <w:r w:rsidRPr="004D76E0">
        <w:rPr>
          <w:rFonts w:eastAsiaTheme="minorHAnsi" w:cs="Arial"/>
          <w:color w:val="auto"/>
        </w:rPr>
        <w:t>20</w:t>
      </w:r>
      <w:r>
        <w:rPr>
          <w:rFonts w:eastAsiaTheme="minorHAnsi" w:cs="Arial"/>
          <w:color w:val="auto"/>
        </w:rPr>
        <w:t xml:space="preserve">17/18 </w:t>
      </w:r>
      <w:r w:rsidRPr="004D76E0">
        <w:rPr>
          <w:rFonts w:eastAsiaTheme="minorHAnsi" w:cs="Arial"/>
          <w:color w:val="auto"/>
        </w:rPr>
        <w:t>was £</w:t>
      </w:r>
      <w:r>
        <w:rPr>
          <w:rFonts w:eastAsiaTheme="minorHAnsi" w:cs="Arial"/>
          <w:color w:val="auto"/>
        </w:rPr>
        <w:t xml:space="preserve">3.380m, although only £0.638m has been spent in year. The works at the Glenburn College Campus are expected to be completed by July 2018 and Network Rail delays in contracting with consultants has delayed the spend on the business case, but this is expected to catch up in 2018/19. </w:t>
      </w:r>
      <w:r w:rsidRPr="004D76E0">
        <w:rPr>
          <w:rFonts w:eastAsiaTheme="minorHAnsi" w:cs="Arial"/>
          <w:color w:val="auto"/>
        </w:rPr>
        <w:t xml:space="preserve"> The business case for the station is progressing through the GRIP stages with the GRIP 2 study being refreshed and GRIP 3a targeted by March 2020.  </w:t>
      </w:r>
    </w:p>
    <w:p w:rsidR="00026737" w:rsidRPr="004D76E0" w:rsidRDefault="00A953D6" w:rsidP="00026737">
      <w:pPr>
        <w:autoSpaceDE/>
        <w:autoSpaceDN/>
        <w:adjustRightInd/>
        <w:spacing w:after="0" w:line="259" w:lineRule="auto"/>
        <w:rPr>
          <w:rFonts w:eastAsiaTheme="minorHAnsi" w:cs="Arial"/>
          <w:b/>
          <w:color w:val="auto"/>
        </w:rPr>
      </w:pPr>
    </w:p>
    <w:p w:rsidR="00026737" w:rsidRDefault="008A011B" w:rsidP="00026737">
      <w:pPr>
        <w:spacing w:after="0"/>
        <w:rPr>
          <w:rFonts w:eastAsiaTheme="minorHAnsi" w:cs="Arial"/>
          <w:color w:val="auto"/>
        </w:rPr>
      </w:pPr>
      <w:r w:rsidRPr="006230B5">
        <w:rPr>
          <w:rFonts w:eastAsiaTheme="minorHAnsi" w:cs="Arial"/>
          <w:b/>
          <w:i/>
          <w:color w:val="auto"/>
        </w:rPr>
        <w:t>National Productivity I</w:t>
      </w:r>
      <w:r>
        <w:rPr>
          <w:rFonts w:eastAsiaTheme="minorHAnsi" w:cs="Arial"/>
          <w:b/>
          <w:i/>
          <w:color w:val="auto"/>
        </w:rPr>
        <w:t xml:space="preserve">nvestment </w:t>
      </w:r>
      <w:r w:rsidRPr="006230B5">
        <w:rPr>
          <w:rFonts w:eastAsiaTheme="minorHAnsi" w:cs="Arial"/>
          <w:b/>
          <w:i/>
          <w:color w:val="auto"/>
        </w:rPr>
        <w:t>Fund</w:t>
      </w:r>
      <w:r>
        <w:rPr>
          <w:rFonts w:eastAsiaTheme="minorHAnsi" w:cs="Arial"/>
          <w:b/>
          <w:color w:val="auto"/>
        </w:rPr>
        <w:t xml:space="preserve"> - </w:t>
      </w:r>
      <w:r>
        <w:rPr>
          <w:rFonts w:eastAsiaTheme="minorHAnsi" w:cs="Arial"/>
          <w:color w:val="auto"/>
        </w:rPr>
        <w:t>Unallocated budget at 31</w:t>
      </w:r>
      <w:r w:rsidRPr="002F2315">
        <w:rPr>
          <w:rFonts w:eastAsiaTheme="minorHAnsi" w:cs="Arial"/>
          <w:color w:val="auto"/>
          <w:vertAlign w:val="superscript"/>
        </w:rPr>
        <w:t>st</w:t>
      </w:r>
      <w:r>
        <w:rPr>
          <w:rFonts w:eastAsiaTheme="minorHAnsi" w:cs="Arial"/>
          <w:color w:val="auto"/>
        </w:rPr>
        <w:t xml:space="preserve"> March of £4.622m. </w:t>
      </w:r>
      <w:r w:rsidRPr="00C87D1D">
        <w:rPr>
          <w:rFonts w:eastAsiaTheme="minorHAnsi" w:cs="Arial"/>
          <w:color w:val="auto"/>
        </w:rPr>
        <w:t xml:space="preserve"> In January 2017, the Department for Transport (DfT) confirmed that the county council would receive a direct grant award of £4.655</w:t>
      </w:r>
      <w:r>
        <w:rPr>
          <w:rFonts w:eastAsiaTheme="minorHAnsi" w:cs="Arial"/>
          <w:color w:val="auto"/>
        </w:rPr>
        <w:t>m</w:t>
      </w:r>
      <w:r w:rsidRPr="00C87D1D">
        <w:rPr>
          <w:rFonts w:eastAsiaTheme="minorHAnsi" w:cs="Arial"/>
          <w:color w:val="auto"/>
        </w:rPr>
        <w:t xml:space="preserve"> in 2017/18 from a national allocation of £185 million, to fund local highway and transport improvements that aim to reduce congestion at key locations, upgrade or improve maintenance of local highway assets, improve access to employment and housing or develop economic and job creation opportunities. Approval of a programme of work was held back until January 2018 until the outcome of competitive bids to the NPIF Fund</w:t>
      </w:r>
      <w:r>
        <w:rPr>
          <w:rFonts w:eastAsiaTheme="minorHAnsi" w:cs="Arial"/>
          <w:color w:val="auto"/>
        </w:rPr>
        <w:t xml:space="preserve"> process. </w:t>
      </w:r>
      <w:r w:rsidRPr="00C87D1D">
        <w:rPr>
          <w:rFonts w:eastAsiaTheme="minorHAnsi" w:cs="Arial"/>
          <w:color w:val="auto"/>
        </w:rPr>
        <w:t xml:space="preserve"> A programme was</w:t>
      </w:r>
      <w:r>
        <w:rPr>
          <w:rFonts w:eastAsiaTheme="minorHAnsi" w:cs="Arial"/>
          <w:color w:val="auto"/>
        </w:rPr>
        <w:t xml:space="preserve"> then</w:t>
      </w:r>
      <w:r w:rsidRPr="00C87D1D">
        <w:rPr>
          <w:rFonts w:eastAsiaTheme="minorHAnsi" w:cs="Arial"/>
          <w:color w:val="auto"/>
        </w:rPr>
        <w:t xml:space="preserve"> approved by Cabinet in January 2018 and will be delivered </w:t>
      </w:r>
      <w:r>
        <w:rPr>
          <w:rFonts w:eastAsiaTheme="minorHAnsi" w:cs="Arial"/>
          <w:color w:val="auto"/>
        </w:rPr>
        <w:t xml:space="preserve">mainly </w:t>
      </w:r>
      <w:r w:rsidRPr="00C87D1D">
        <w:rPr>
          <w:rFonts w:eastAsiaTheme="minorHAnsi" w:cs="Arial"/>
          <w:color w:val="auto"/>
        </w:rPr>
        <w:t>in 2018/19.</w:t>
      </w:r>
      <w:r>
        <w:rPr>
          <w:rFonts w:eastAsiaTheme="minorHAnsi" w:cs="Arial"/>
          <w:color w:val="auto"/>
        </w:rPr>
        <w:t xml:space="preserve"> Towards the end of 2017/18 t</w:t>
      </w:r>
      <w:r w:rsidRPr="004D76E0">
        <w:rPr>
          <w:rFonts w:eastAsiaTheme="minorHAnsi" w:cs="Arial"/>
          <w:color w:val="auto"/>
        </w:rPr>
        <w:t>wo business cases totalling £0.020m have been funding using the award</w:t>
      </w:r>
      <w:r>
        <w:rPr>
          <w:rFonts w:eastAsiaTheme="minorHAnsi" w:cs="Arial"/>
          <w:color w:val="auto"/>
        </w:rPr>
        <w:t>;</w:t>
      </w:r>
      <w:r w:rsidRPr="004D76E0">
        <w:rPr>
          <w:rFonts w:eastAsiaTheme="minorHAnsi" w:cs="Arial"/>
          <w:color w:val="auto"/>
        </w:rPr>
        <w:t xml:space="preserve"> A business case for </w:t>
      </w:r>
      <w:r w:rsidRPr="004D76E0">
        <w:rPr>
          <w:rFonts w:eastAsiaTheme="minorHAnsi" w:cs="Arial"/>
          <w:bCs/>
          <w:color w:val="auto"/>
        </w:rPr>
        <w:t>Design of M65 Growth Corridor Improvements at J8, 9, 10, 13 &amp; North Valley Rd</w:t>
      </w:r>
      <w:r>
        <w:rPr>
          <w:rFonts w:eastAsiaTheme="minorHAnsi" w:cs="Arial"/>
          <w:bCs/>
          <w:color w:val="auto"/>
        </w:rPr>
        <w:t xml:space="preserve"> </w:t>
      </w:r>
      <w:r w:rsidRPr="004D76E0">
        <w:rPr>
          <w:rFonts w:eastAsiaTheme="minorHAnsi" w:cs="Arial"/>
          <w:bCs/>
          <w:color w:val="auto"/>
        </w:rPr>
        <w:t>/ Vivary Way</w:t>
      </w:r>
      <w:r w:rsidRPr="004D76E0">
        <w:rPr>
          <w:rFonts w:eastAsiaTheme="minorHAnsi" w:cs="Arial"/>
          <w:color w:val="auto"/>
        </w:rPr>
        <w:t xml:space="preserve"> has been allocated £0.200m, a small amount of work on design had started by the end of 17/18 with </w:t>
      </w:r>
      <w:r>
        <w:rPr>
          <w:rFonts w:eastAsiaTheme="minorHAnsi" w:cs="Arial"/>
          <w:color w:val="auto"/>
        </w:rPr>
        <w:t>completion due in 2018/19.</w:t>
      </w:r>
    </w:p>
    <w:p w:rsidR="00026737" w:rsidRPr="004D76E0" w:rsidRDefault="008A011B" w:rsidP="00026737">
      <w:pPr>
        <w:spacing w:after="0"/>
        <w:rPr>
          <w:rFonts w:eastAsiaTheme="minorHAnsi" w:cs="Arial"/>
          <w:bCs/>
          <w:color w:val="auto"/>
        </w:rPr>
      </w:pPr>
      <w:r>
        <w:rPr>
          <w:rFonts w:eastAsiaTheme="minorHAnsi" w:cs="Arial"/>
          <w:color w:val="auto"/>
        </w:rPr>
        <w:t xml:space="preserve"> </w:t>
      </w: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Cycling Safety programme</w:t>
      </w:r>
      <w:r>
        <w:rPr>
          <w:rFonts w:eastAsiaTheme="minorHAnsi" w:cs="Arial"/>
          <w:b/>
          <w:color w:val="auto"/>
        </w:rPr>
        <w:t xml:space="preserve"> </w:t>
      </w:r>
      <w:r>
        <w:rPr>
          <w:rFonts w:eastAsiaTheme="minorHAnsi" w:cs="Arial"/>
          <w:color w:val="auto"/>
        </w:rPr>
        <w:t>–</w:t>
      </w:r>
      <w:r w:rsidRPr="004D76E0">
        <w:rPr>
          <w:rFonts w:eastAsiaTheme="minorHAnsi" w:cs="Arial"/>
          <w:color w:val="auto"/>
        </w:rPr>
        <w:t xml:space="preserve"> </w:t>
      </w:r>
      <w:r>
        <w:rPr>
          <w:rFonts w:eastAsiaTheme="minorHAnsi" w:cs="Arial"/>
          <w:color w:val="auto"/>
        </w:rPr>
        <w:t xml:space="preserve">In-year slippage of £0.578m. </w:t>
      </w:r>
      <w:r w:rsidRPr="004D76E0">
        <w:rPr>
          <w:rFonts w:eastAsiaTheme="minorHAnsi" w:cs="Arial"/>
          <w:color w:val="auto"/>
        </w:rPr>
        <w:t xml:space="preserve">The scope of the programme and design has changed </w:t>
      </w:r>
      <w:r>
        <w:rPr>
          <w:rFonts w:eastAsiaTheme="minorHAnsi" w:cs="Arial"/>
          <w:color w:val="auto"/>
        </w:rPr>
        <w:t xml:space="preserve">to fit </w:t>
      </w:r>
      <w:r w:rsidRPr="004D76E0">
        <w:rPr>
          <w:rFonts w:eastAsiaTheme="minorHAnsi" w:cs="Arial"/>
          <w:color w:val="auto"/>
        </w:rPr>
        <w:t xml:space="preserve">with the wider local cycling strategy/plan. Some projects have been cancelled </w:t>
      </w:r>
      <w:r>
        <w:rPr>
          <w:rFonts w:eastAsiaTheme="minorHAnsi" w:cs="Arial"/>
          <w:color w:val="auto"/>
        </w:rPr>
        <w:t>as after further investigation they are no longer required, some have been delayed for delivery into 2018/19</w:t>
      </w:r>
      <w:r w:rsidRPr="004D76E0">
        <w:rPr>
          <w:rFonts w:eastAsiaTheme="minorHAnsi" w:cs="Arial"/>
          <w:color w:val="auto"/>
        </w:rPr>
        <w:t xml:space="preserve"> resulting in an underspend </w:t>
      </w:r>
      <w:r>
        <w:rPr>
          <w:rFonts w:eastAsiaTheme="minorHAnsi" w:cs="Arial"/>
          <w:color w:val="auto"/>
        </w:rPr>
        <w:t xml:space="preserve">of against the expected delivery programme in 2017/18. </w:t>
      </w:r>
    </w:p>
    <w:p w:rsidR="00026737" w:rsidRPr="004D76E0" w:rsidRDefault="00A953D6" w:rsidP="00026737">
      <w:pPr>
        <w:autoSpaceDE/>
        <w:autoSpaceDN/>
        <w:adjustRightInd/>
        <w:spacing w:after="0" w:line="259" w:lineRule="auto"/>
        <w:rPr>
          <w:rFonts w:eastAsiaTheme="minorHAnsi" w:cs="Arial"/>
          <w:color w:val="auto"/>
        </w:rPr>
      </w:pPr>
    </w:p>
    <w:p w:rsidR="00026737" w:rsidRPr="004D76E0"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 xml:space="preserve">Ormskirk </w:t>
      </w:r>
      <w:r>
        <w:rPr>
          <w:rFonts w:eastAsiaTheme="minorHAnsi" w:cs="Arial"/>
          <w:b/>
          <w:i/>
          <w:color w:val="auto"/>
        </w:rPr>
        <w:t>Congestion Relief</w:t>
      </w:r>
      <w:r w:rsidRPr="004D76E0">
        <w:rPr>
          <w:rFonts w:eastAsiaTheme="minorHAnsi" w:cs="Arial"/>
          <w:color w:val="auto"/>
        </w:rPr>
        <w:t xml:space="preserve"> – </w:t>
      </w:r>
      <w:r>
        <w:rPr>
          <w:rFonts w:eastAsiaTheme="minorHAnsi" w:cs="Arial"/>
          <w:color w:val="auto"/>
        </w:rPr>
        <w:t>In year slippage of £0.739m.  A programme of work has not yet been developed and is awaiting the outcome of the Ormskirk Movement Strategy this is likely to be in 2021/22.  This has given an opportunity to repurpose part of the allocation to future 2018/19 priorities as discussed at Cabinet on the 18</w:t>
      </w:r>
      <w:r w:rsidRPr="000A0235">
        <w:rPr>
          <w:rFonts w:eastAsiaTheme="minorHAnsi" w:cs="Arial"/>
          <w:color w:val="auto"/>
          <w:vertAlign w:val="superscript"/>
        </w:rPr>
        <w:t>th</w:t>
      </w:r>
      <w:r>
        <w:rPr>
          <w:rFonts w:eastAsiaTheme="minorHAnsi" w:cs="Arial"/>
          <w:color w:val="auto"/>
        </w:rPr>
        <w:t xml:space="preserve"> January 2018.</w:t>
      </w:r>
      <w:r w:rsidRPr="004D76E0">
        <w:rPr>
          <w:rFonts w:eastAsiaTheme="minorHAnsi" w:cs="Arial"/>
          <w:color w:val="auto"/>
        </w:rPr>
        <w:t xml:space="preserve"> </w:t>
      </w:r>
    </w:p>
    <w:p w:rsidR="00026737" w:rsidRDefault="00A953D6" w:rsidP="00026737">
      <w:pPr>
        <w:autoSpaceDE/>
        <w:autoSpaceDN/>
        <w:adjustRightInd/>
        <w:spacing w:after="0" w:line="259" w:lineRule="auto"/>
        <w:rPr>
          <w:rFonts w:eastAsiaTheme="minorHAnsi" w:cs="Arial"/>
          <w:b/>
          <w:i/>
          <w:color w:val="auto"/>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North Valley Road</w:t>
      </w:r>
      <w:r>
        <w:rPr>
          <w:rFonts w:eastAsiaTheme="minorHAnsi" w:cs="Arial"/>
          <w:b/>
          <w:color w:val="auto"/>
        </w:rPr>
        <w:t xml:space="preserve"> modelling</w:t>
      </w:r>
      <w:r w:rsidRPr="004D76E0">
        <w:rPr>
          <w:rFonts w:eastAsiaTheme="minorHAnsi" w:cs="Arial"/>
          <w:color w:val="auto"/>
        </w:rPr>
        <w:t>-</w:t>
      </w:r>
      <w:r>
        <w:rPr>
          <w:rFonts w:eastAsiaTheme="minorHAnsi" w:cs="Arial"/>
          <w:color w:val="auto"/>
        </w:rPr>
        <w:t xml:space="preserve"> in year slippage of £0.300m. T</w:t>
      </w:r>
      <w:r w:rsidRPr="004D76E0">
        <w:rPr>
          <w:rFonts w:eastAsiaTheme="minorHAnsi" w:cs="Arial"/>
          <w:color w:val="auto"/>
        </w:rPr>
        <w:t xml:space="preserve">he scope of the scheme has now changed </w:t>
      </w:r>
      <w:r>
        <w:rPr>
          <w:rFonts w:eastAsiaTheme="minorHAnsi" w:cs="Arial"/>
          <w:color w:val="auto"/>
        </w:rPr>
        <w:t>resulting in a project that requires less budget.  In addition, further NPIF funding has been secured which will allow some of the original budget to be repurposed.</w:t>
      </w:r>
      <w:r w:rsidRPr="004D76E0">
        <w:rPr>
          <w:rFonts w:eastAsiaTheme="minorHAnsi" w:cs="Arial"/>
          <w:color w:val="auto"/>
        </w:rPr>
        <w:t xml:space="preserve"> The remaining budget will be slipped into 2018/19</w:t>
      </w:r>
      <w:r>
        <w:rPr>
          <w:rFonts w:eastAsiaTheme="minorHAnsi" w:cs="Arial"/>
          <w:color w:val="auto"/>
        </w:rPr>
        <w:t xml:space="preserve"> for delivery</w:t>
      </w:r>
      <w:r w:rsidRPr="004D76E0">
        <w:rPr>
          <w:rFonts w:eastAsiaTheme="minorHAnsi" w:cs="Arial"/>
          <w:color w:val="auto"/>
        </w:rPr>
        <w:t>.</w:t>
      </w:r>
    </w:p>
    <w:p w:rsidR="00026737" w:rsidRPr="004D76E0"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Eaves Green Lane Link</w:t>
      </w:r>
      <w:r>
        <w:rPr>
          <w:rFonts w:eastAsiaTheme="minorHAnsi" w:cs="Arial"/>
          <w:b/>
          <w:color w:val="auto"/>
        </w:rPr>
        <w:t xml:space="preserve"> </w:t>
      </w:r>
      <w:r>
        <w:rPr>
          <w:rFonts w:eastAsiaTheme="minorHAnsi" w:cs="Arial"/>
          <w:color w:val="auto"/>
        </w:rPr>
        <w:t>–</w:t>
      </w:r>
      <w:r w:rsidRPr="004D76E0">
        <w:rPr>
          <w:rFonts w:eastAsiaTheme="minorHAnsi" w:cs="Arial"/>
          <w:color w:val="auto"/>
        </w:rPr>
        <w:t xml:space="preserve"> </w:t>
      </w:r>
      <w:r>
        <w:rPr>
          <w:rFonts w:eastAsiaTheme="minorHAnsi" w:cs="Arial"/>
          <w:color w:val="auto"/>
        </w:rPr>
        <w:t xml:space="preserve">in year slippage of £0.250m. </w:t>
      </w:r>
      <w:r w:rsidRPr="004D76E0">
        <w:rPr>
          <w:rFonts w:eastAsiaTheme="minorHAnsi" w:cs="Arial"/>
          <w:color w:val="auto"/>
        </w:rPr>
        <w:t xml:space="preserve">Due to a decision made in February </w:t>
      </w:r>
      <w:r>
        <w:rPr>
          <w:rFonts w:eastAsiaTheme="minorHAnsi" w:cs="Arial"/>
          <w:color w:val="auto"/>
        </w:rPr>
        <w:t xml:space="preserve">2018 </w:t>
      </w:r>
      <w:r w:rsidRPr="004D76E0">
        <w:rPr>
          <w:rFonts w:eastAsiaTheme="minorHAnsi" w:cs="Arial"/>
          <w:color w:val="auto"/>
        </w:rPr>
        <w:t>this is not</w:t>
      </w:r>
      <w:r>
        <w:rPr>
          <w:rFonts w:eastAsiaTheme="minorHAnsi" w:cs="Arial"/>
          <w:color w:val="auto"/>
        </w:rPr>
        <w:t xml:space="preserve"> now </w:t>
      </w:r>
      <w:r w:rsidRPr="004D76E0">
        <w:rPr>
          <w:rFonts w:eastAsiaTheme="minorHAnsi" w:cs="Arial"/>
          <w:color w:val="auto"/>
        </w:rPr>
        <w:t>a priority scheme within the transport programme and</w:t>
      </w:r>
      <w:r>
        <w:rPr>
          <w:rFonts w:eastAsiaTheme="minorHAnsi" w:cs="Arial"/>
          <w:color w:val="auto"/>
        </w:rPr>
        <w:t xml:space="preserve"> the budget</w:t>
      </w:r>
      <w:r w:rsidRPr="004D76E0">
        <w:rPr>
          <w:rFonts w:eastAsiaTheme="minorHAnsi" w:cs="Arial"/>
          <w:color w:val="auto"/>
        </w:rPr>
        <w:t xml:space="preserve"> is now being slipped into future years</w:t>
      </w:r>
      <w:r>
        <w:rPr>
          <w:rFonts w:eastAsiaTheme="minorHAnsi" w:cs="Arial"/>
          <w:color w:val="auto"/>
        </w:rPr>
        <w:t xml:space="preserve"> for delivery.</w:t>
      </w:r>
      <w:r w:rsidRPr="004D76E0">
        <w:rPr>
          <w:rFonts w:eastAsiaTheme="minorHAnsi" w:cs="Arial"/>
          <w:color w:val="auto"/>
        </w:rPr>
        <w:t xml:space="preserve">  </w:t>
      </w:r>
    </w:p>
    <w:p w:rsidR="00026737" w:rsidRPr="004D76E0"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Health Initiatives funding</w:t>
      </w:r>
      <w:r w:rsidRPr="004D76E0">
        <w:rPr>
          <w:rFonts w:eastAsiaTheme="minorHAnsi" w:cs="Arial"/>
          <w:color w:val="auto"/>
        </w:rPr>
        <w:t xml:space="preserve"> - £0.385m still remains unprogrammed and will be slipped into future years</w:t>
      </w:r>
      <w:r>
        <w:rPr>
          <w:rFonts w:eastAsiaTheme="minorHAnsi" w:cs="Arial"/>
          <w:color w:val="auto"/>
        </w:rPr>
        <w:t xml:space="preserve"> delivery</w:t>
      </w:r>
      <w:r w:rsidRPr="004D76E0">
        <w:rPr>
          <w:rFonts w:eastAsiaTheme="minorHAnsi" w:cs="Arial"/>
          <w:color w:val="auto"/>
        </w:rPr>
        <w:t>.</w:t>
      </w:r>
    </w:p>
    <w:p w:rsidR="00026737" w:rsidRPr="004D76E0" w:rsidRDefault="00A953D6" w:rsidP="00026737">
      <w:pPr>
        <w:autoSpaceDE/>
        <w:autoSpaceDN/>
        <w:adjustRightInd/>
        <w:spacing w:after="0" w:line="259" w:lineRule="auto"/>
        <w:rPr>
          <w:rFonts w:eastAsiaTheme="minorHAnsi" w:cs="Arial"/>
          <w:color w:val="auto"/>
        </w:rPr>
      </w:pPr>
    </w:p>
    <w:p w:rsidR="00026737" w:rsidRPr="004D76E0" w:rsidRDefault="008A011B" w:rsidP="00026737">
      <w:pPr>
        <w:autoSpaceDE/>
        <w:autoSpaceDN/>
        <w:adjustRightInd/>
        <w:spacing w:after="0" w:line="259" w:lineRule="auto"/>
        <w:rPr>
          <w:rFonts w:eastAsiaTheme="minorHAnsi" w:cs="Arial"/>
          <w:color w:val="auto"/>
        </w:rPr>
      </w:pPr>
      <w:r w:rsidRPr="006230B5">
        <w:rPr>
          <w:rFonts w:eastAsiaTheme="minorHAnsi" w:cs="Arial"/>
          <w:b/>
          <w:i/>
          <w:color w:val="auto"/>
        </w:rPr>
        <w:t>Master Planning works (West Lancs, East Lancs and Lancaster)</w:t>
      </w:r>
      <w:r w:rsidRPr="004D76E0">
        <w:rPr>
          <w:rFonts w:eastAsiaTheme="minorHAnsi" w:cs="Arial"/>
          <w:color w:val="auto"/>
        </w:rPr>
        <w:t xml:space="preserve"> - The </w:t>
      </w:r>
      <w:r>
        <w:rPr>
          <w:rFonts w:eastAsiaTheme="minorHAnsi" w:cs="Arial"/>
          <w:color w:val="auto"/>
        </w:rPr>
        <w:t>budget for these</w:t>
      </w:r>
      <w:r w:rsidRPr="004D76E0">
        <w:rPr>
          <w:rFonts w:eastAsiaTheme="minorHAnsi" w:cs="Arial"/>
          <w:color w:val="auto"/>
        </w:rPr>
        <w:t xml:space="preserve"> works was added </w:t>
      </w:r>
      <w:r>
        <w:rPr>
          <w:rFonts w:eastAsiaTheme="minorHAnsi" w:cs="Arial"/>
          <w:color w:val="auto"/>
        </w:rPr>
        <w:t xml:space="preserve">in 2016 </w:t>
      </w:r>
      <w:r w:rsidRPr="004D76E0">
        <w:rPr>
          <w:rFonts w:eastAsiaTheme="minorHAnsi" w:cs="Arial"/>
          <w:color w:val="auto"/>
        </w:rPr>
        <w:t xml:space="preserve">to the 2017/18 programme for development activities </w:t>
      </w:r>
      <w:r w:rsidRPr="004D76E0">
        <w:rPr>
          <w:rFonts w:eastAsiaTheme="minorHAnsi" w:cs="Arial"/>
          <w:color w:val="auto"/>
        </w:rPr>
        <w:lastRenderedPageBreak/>
        <w:t xml:space="preserve">across the county totalling £4.725m. </w:t>
      </w:r>
      <w:r>
        <w:rPr>
          <w:rFonts w:eastAsiaTheme="minorHAnsi" w:cs="Arial"/>
          <w:color w:val="auto"/>
        </w:rPr>
        <w:t>Forecast expenditure has been reprofiled to align the co-funding of the scheme propositions with local partners, and as a result</w:t>
      </w:r>
      <w:r w:rsidRPr="004D76E0">
        <w:rPr>
          <w:rFonts w:eastAsiaTheme="minorHAnsi" w:cs="Arial"/>
          <w:color w:val="auto"/>
        </w:rPr>
        <w:t>, this has now slipped into 2018/19</w:t>
      </w:r>
      <w:r>
        <w:rPr>
          <w:rFonts w:eastAsiaTheme="minorHAnsi" w:cs="Arial"/>
          <w:color w:val="auto"/>
        </w:rPr>
        <w:t xml:space="preserve"> for delivery.  </w:t>
      </w:r>
    </w:p>
    <w:p w:rsidR="00026737" w:rsidRPr="00735826" w:rsidRDefault="00A953D6" w:rsidP="00026737">
      <w:pPr>
        <w:spacing w:after="0"/>
        <w:rPr>
          <w:rFonts w:cs="Arial"/>
          <w:b/>
          <w:u w:val="single"/>
        </w:rPr>
      </w:pPr>
    </w:p>
    <w:p w:rsidR="00026737" w:rsidRPr="00735826" w:rsidRDefault="008A011B" w:rsidP="00026737">
      <w:pPr>
        <w:spacing w:after="0"/>
        <w:rPr>
          <w:rFonts w:cs="Arial"/>
          <w:b/>
          <w:u w:val="single"/>
        </w:rPr>
      </w:pPr>
      <w:r>
        <w:rPr>
          <w:rFonts w:cs="Arial"/>
          <w:b/>
          <w:u w:val="single"/>
        </w:rPr>
        <w:t xml:space="preserve">4.5 </w:t>
      </w:r>
      <w:r w:rsidRPr="00735826">
        <w:rPr>
          <w:rFonts w:cs="Arial"/>
          <w:b/>
          <w:u w:val="single"/>
        </w:rPr>
        <w:t>Waste/Other</w:t>
      </w:r>
    </w:p>
    <w:p w:rsidR="00026737" w:rsidRPr="00735826" w:rsidRDefault="00A953D6" w:rsidP="00026737">
      <w:pPr>
        <w:spacing w:after="0"/>
        <w:rPr>
          <w:rFonts w:cs="Arial"/>
          <w:b/>
          <w:u w:val="single"/>
        </w:rPr>
      </w:pPr>
    </w:p>
    <w:p w:rsidR="00026737" w:rsidRDefault="008A011B" w:rsidP="00026737">
      <w:pPr>
        <w:autoSpaceDE/>
        <w:autoSpaceDN/>
        <w:adjustRightInd/>
        <w:spacing w:after="0" w:line="259" w:lineRule="auto"/>
        <w:rPr>
          <w:rFonts w:eastAsiaTheme="minorHAnsi" w:cs="Arial"/>
          <w:color w:val="auto"/>
        </w:rPr>
      </w:pPr>
      <w:r w:rsidRPr="00A17B6E">
        <w:rPr>
          <w:rFonts w:eastAsiaTheme="minorHAnsi" w:cs="Arial"/>
          <w:color w:val="auto"/>
        </w:rPr>
        <w:t>The 2017/18 delivery budget for the Waste block of the capital programme was £6.435m. Outturn expenditure was £1.965m, representing expenditure less than budget of £4.470m</w:t>
      </w:r>
      <w:r>
        <w:rPr>
          <w:rFonts w:eastAsiaTheme="minorHAnsi" w:cs="Arial"/>
          <w:color w:val="auto"/>
        </w:rPr>
        <w:t>. This includes slippage of £1.632m, £0.047m not allocated to projects and £2.791m underspend.</w:t>
      </w:r>
    </w:p>
    <w:p w:rsidR="00026737" w:rsidRPr="00A17B6E"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4D76E0">
        <w:rPr>
          <w:rFonts w:eastAsiaTheme="minorHAnsi" w:cs="Arial"/>
          <w:color w:val="auto"/>
        </w:rPr>
        <w:t xml:space="preserve">Key items are </w:t>
      </w:r>
      <w:r>
        <w:rPr>
          <w:rFonts w:eastAsiaTheme="minorHAnsi" w:cs="Arial"/>
          <w:color w:val="auto"/>
        </w:rPr>
        <w:t>as follows:</w:t>
      </w:r>
    </w:p>
    <w:p w:rsidR="00026737" w:rsidRPr="004D76E0" w:rsidRDefault="00A953D6" w:rsidP="00026737">
      <w:pPr>
        <w:autoSpaceDE/>
        <w:autoSpaceDN/>
        <w:adjustRightInd/>
        <w:spacing w:after="0" w:line="259" w:lineRule="auto"/>
        <w:rPr>
          <w:rFonts w:eastAsiaTheme="minorHAnsi" w:cs="Arial"/>
          <w:color w:val="auto"/>
        </w:rPr>
      </w:pPr>
    </w:p>
    <w:p w:rsidR="00026737" w:rsidRPr="00B42FD6" w:rsidRDefault="008A011B" w:rsidP="00026737">
      <w:pPr>
        <w:pStyle w:val="ListParagraph"/>
        <w:numPr>
          <w:ilvl w:val="0"/>
          <w:numId w:val="34"/>
        </w:numPr>
        <w:autoSpaceDE/>
        <w:autoSpaceDN/>
        <w:adjustRightInd/>
        <w:spacing w:after="0" w:line="259" w:lineRule="auto"/>
        <w:rPr>
          <w:rFonts w:eastAsiaTheme="minorHAnsi" w:cs="Arial"/>
          <w:color w:val="auto"/>
        </w:rPr>
      </w:pPr>
      <w:r w:rsidRPr="00B42FD6">
        <w:rPr>
          <w:rFonts w:eastAsiaTheme="minorHAnsi" w:cs="Arial"/>
          <w:color w:val="auto"/>
        </w:rPr>
        <w:t>Fire Suppression Systems at Thornton and Farrington –</w:t>
      </w:r>
      <w:r>
        <w:rPr>
          <w:rFonts w:eastAsiaTheme="minorHAnsi" w:cs="Arial"/>
          <w:color w:val="auto"/>
        </w:rPr>
        <w:t xml:space="preserve"> An underspend of </w:t>
      </w:r>
      <w:r w:rsidRPr="00B07ED7">
        <w:rPr>
          <w:rFonts w:eastAsiaTheme="minorHAnsi" w:cs="Arial"/>
          <w:color w:val="auto"/>
        </w:rPr>
        <w:t>£2.579m</w:t>
      </w:r>
      <w:r w:rsidRPr="00B42FD6">
        <w:rPr>
          <w:rFonts w:eastAsiaTheme="minorHAnsi" w:cs="Arial"/>
          <w:color w:val="auto"/>
        </w:rPr>
        <w:t xml:space="preserve"> </w:t>
      </w:r>
      <w:r>
        <w:rPr>
          <w:rFonts w:eastAsiaTheme="minorHAnsi" w:cs="Arial"/>
          <w:color w:val="auto"/>
        </w:rPr>
        <w:t xml:space="preserve">on completion of the project </w:t>
      </w:r>
      <w:r w:rsidRPr="00B42FD6">
        <w:rPr>
          <w:rFonts w:eastAsiaTheme="minorHAnsi" w:cs="Arial"/>
          <w:color w:val="auto"/>
        </w:rPr>
        <w:t>over the sites has occurred due to the</w:t>
      </w:r>
      <w:r>
        <w:rPr>
          <w:rFonts w:eastAsiaTheme="minorHAnsi" w:cs="Arial"/>
          <w:color w:val="auto"/>
        </w:rPr>
        <w:t xml:space="preserve"> scope of the projects changing.  This money is available for repurposing in 2018/19.</w:t>
      </w:r>
    </w:p>
    <w:p w:rsidR="00026737" w:rsidRPr="00B42FD6" w:rsidRDefault="008A011B" w:rsidP="00026737">
      <w:pPr>
        <w:pStyle w:val="ListParagraph"/>
        <w:numPr>
          <w:ilvl w:val="0"/>
          <w:numId w:val="34"/>
        </w:numPr>
        <w:autoSpaceDE/>
        <w:autoSpaceDN/>
        <w:adjustRightInd/>
        <w:spacing w:after="0" w:line="259" w:lineRule="auto"/>
        <w:rPr>
          <w:rFonts w:eastAsiaTheme="minorHAnsi" w:cs="Arial"/>
          <w:color w:val="auto"/>
        </w:rPr>
      </w:pPr>
      <w:r>
        <w:rPr>
          <w:rFonts w:eastAsiaTheme="minorHAnsi" w:cs="Arial"/>
          <w:color w:val="auto"/>
        </w:rPr>
        <w:t xml:space="preserve">Works </w:t>
      </w:r>
      <w:r w:rsidRPr="00B42FD6">
        <w:rPr>
          <w:rFonts w:eastAsiaTheme="minorHAnsi" w:cs="Arial"/>
          <w:color w:val="auto"/>
        </w:rPr>
        <w:t xml:space="preserve">Jameson Road HWRC has a slippage amount of </w:t>
      </w:r>
      <w:r w:rsidRPr="001254E0">
        <w:rPr>
          <w:rFonts w:eastAsiaTheme="minorHAnsi" w:cs="Arial"/>
          <w:color w:val="auto"/>
        </w:rPr>
        <w:t>£0.344m</w:t>
      </w:r>
      <w:r w:rsidRPr="00B42FD6">
        <w:rPr>
          <w:rFonts w:eastAsiaTheme="minorHAnsi" w:cs="Arial"/>
          <w:color w:val="auto"/>
        </w:rPr>
        <w:t xml:space="preserve"> which is due to be spent in 2018/19</w:t>
      </w:r>
      <w:r>
        <w:rPr>
          <w:rFonts w:eastAsiaTheme="minorHAnsi" w:cs="Arial"/>
          <w:color w:val="auto"/>
        </w:rPr>
        <w:t>.</w:t>
      </w:r>
    </w:p>
    <w:p w:rsidR="00026737" w:rsidRPr="00B42FD6" w:rsidRDefault="008A011B" w:rsidP="00026737">
      <w:pPr>
        <w:pStyle w:val="ListParagraph"/>
        <w:numPr>
          <w:ilvl w:val="0"/>
          <w:numId w:val="34"/>
        </w:numPr>
        <w:autoSpaceDE/>
        <w:autoSpaceDN/>
        <w:adjustRightInd/>
        <w:spacing w:after="0" w:line="259" w:lineRule="auto"/>
        <w:rPr>
          <w:rFonts w:eastAsiaTheme="minorHAnsi" w:cs="Arial"/>
          <w:color w:val="auto"/>
        </w:rPr>
      </w:pPr>
      <w:r w:rsidRPr="00B42FD6">
        <w:rPr>
          <w:rFonts w:eastAsiaTheme="minorHAnsi" w:cs="Arial"/>
          <w:color w:val="auto"/>
        </w:rPr>
        <w:t>Rowley Landfill Site</w:t>
      </w:r>
      <w:r>
        <w:rPr>
          <w:rFonts w:eastAsiaTheme="minorHAnsi" w:cs="Arial"/>
          <w:color w:val="auto"/>
        </w:rPr>
        <w:t xml:space="preserve"> - t</w:t>
      </w:r>
      <w:r w:rsidRPr="00B42FD6">
        <w:rPr>
          <w:rFonts w:eastAsiaTheme="minorHAnsi" w:cs="Arial"/>
          <w:color w:val="auto"/>
        </w:rPr>
        <w:t xml:space="preserve">he underspend of </w:t>
      </w:r>
      <w:r w:rsidRPr="001254E0">
        <w:rPr>
          <w:rFonts w:eastAsiaTheme="minorHAnsi" w:cs="Arial"/>
          <w:color w:val="auto"/>
        </w:rPr>
        <w:t>£0.212m</w:t>
      </w:r>
      <w:r w:rsidRPr="00B42FD6">
        <w:rPr>
          <w:rFonts w:eastAsiaTheme="minorHAnsi" w:cs="Arial"/>
          <w:color w:val="auto"/>
        </w:rPr>
        <w:t xml:space="preserve"> reflects the total tender price coming in under the original budgeted price agreed in 2016/17</w:t>
      </w:r>
      <w:r>
        <w:rPr>
          <w:rFonts w:eastAsiaTheme="minorHAnsi" w:cs="Arial"/>
          <w:color w:val="auto"/>
        </w:rPr>
        <w:t>.  This money is available for repurposing in 2018/19.</w:t>
      </w:r>
    </w:p>
    <w:p w:rsidR="00026737" w:rsidRDefault="008A011B" w:rsidP="00026737">
      <w:pPr>
        <w:pStyle w:val="ListParagraph"/>
        <w:numPr>
          <w:ilvl w:val="0"/>
          <w:numId w:val="34"/>
        </w:numPr>
        <w:autoSpaceDE/>
        <w:autoSpaceDN/>
        <w:adjustRightInd/>
        <w:spacing w:after="0" w:line="259" w:lineRule="auto"/>
        <w:rPr>
          <w:rFonts w:eastAsiaTheme="minorHAnsi" w:cs="Arial"/>
          <w:color w:val="auto"/>
        </w:rPr>
      </w:pPr>
      <w:r w:rsidRPr="00B42FD6">
        <w:rPr>
          <w:rFonts w:eastAsiaTheme="minorHAnsi" w:cs="Arial"/>
          <w:color w:val="auto"/>
        </w:rPr>
        <w:t xml:space="preserve">The relocation of Metrology Service has a slippage amount of </w:t>
      </w:r>
      <w:r w:rsidRPr="001254E0">
        <w:rPr>
          <w:rFonts w:eastAsiaTheme="minorHAnsi" w:cs="Arial"/>
          <w:color w:val="auto"/>
        </w:rPr>
        <w:t>£0.051m</w:t>
      </w:r>
      <w:r>
        <w:rPr>
          <w:rFonts w:eastAsiaTheme="minorHAnsi" w:cs="Arial"/>
          <w:color w:val="auto"/>
        </w:rPr>
        <w:t xml:space="preserve"> for delivery in 2018/19.</w:t>
      </w:r>
    </w:p>
    <w:p w:rsidR="00026737" w:rsidRPr="00B42FD6" w:rsidRDefault="008A011B" w:rsidP="00026737">
      <w:pPr>
        <w:pStyle w:val="ListParagraph"/>
        <w:numPr>
          <w:ilvl w:val="0"/>
          <w:numId w:val="34"/>
        </w:numPr>
        <w:autoSpaceDE/>
        <w:autoSpaceDN/>
        <w:adjustRightInd/>
        <w:spacing w:after="0" w:line="259" w:lineRule="auto"/>
        <w:rPr>
          <w:rFonts w:eastAsiaTheme="minorHAnsi" w:cs="Arial"/>
          <w:color w:val="auto"/>
        </w:rPr>
      </w:pPr>
      <w:r w:rsidRPr="00B42FD6">
        <w:rPr>
          <w:rFonts w:eastAsiaTheme="minorHAnsi" w:cs="Arial"/>
          <w:color w:val="auto"/>
        </w:rPr>
        <w:t xml:space="preserve">There is also an un-programmed amount of </w:t>
      </w:r>
      <w:r w:rsidRPr="001254E0">
        <w:rPr>
          <w:rFonts w:eastAsiaTheme="minorHAnsi" w:cs="Arial"/>
          <w:color w:val="auto"/>
        </w:rPr>
        <w:t>£0.047m</w:t>
      </w:r>
      <w:r w:rsidRPr="00B42FD6">
        <w:rPr>
          <w:rFonts w:eastAsiaTheme="minorHAnsi" w:cs="Arial"/>
          <w:color w:val="auto"/>
        </w:rPr>
        <w:t xml:space="preserve"> </w:t>
      </w:r>
      <w:r>
        <w:rPr>
          <w:rFonts w:eastAsiaTheme="minorHAnsi" w:cs="Arial"/>
          <w:color w:val="auto"/>
        </w:rPr>
        <w:t>due to be programmed for delivery in</w:t>
      </w:r>
      <w:r w:rsidRPr="00B42FD6">
        <w:rPr>
          <w:rFonts w:eastAsiaTheme="minorHAnsi" w:cs="Arial"/>
          <w:color w:val="auto"/>
        </w:rPr>
        <w:t xml:space="preserve"> 2018/19</w:t>
      </w:r>
      <w:r>
        <w:rPr>
          <w:rFonts w:eastAsiaTheme="minorHAnsi" w:cs="Arial"/>
          <w:color w:val="auto"/>
        </w:rPr>
        <w:t>.</w:t>
      </w:r>
    </w:p>
    <w:p w:rsidR="00026737" w:rsidRDefault="008A011B" w:rsidP="00026737">
      <w:pPr>
        <w:pStyle w:val="ListParagraph"/>
        <w:numPr>
          <w:ilvl w:val="0"/>
          <w:numId w:val="34"/>
        </w:numPr>
        <w:autoSpaceDE/>
        <w:autoSpaceDN/>
        <w:adjustRightInd/>
        <w:spacing w:after="0" w:line="259" w:lineRule="auto"/>
        <w:rPr>
          <w:rFonts w:eastAsiaTheme="minorHAnsi" w:cs="Arial"/>
          <w:color w:val="auto"/>
        </w:rPr>
      </w:pPr>
      <w:r>
        <w:rPr>
          <w:rFonts w:eastAsiaTheme="minorHAnsi" w:cs="Arial"/>
          <w:color w:val="auto"/>
        </w:rPr>
        <w:t xml:space="preserve">HWRC </w:t>
      </w:r>
      <w:r w:rsidRPr="00B42FD6">
        <w:rPr>
          <w:rFonts w:eastAsiaTheme="minorHAnsi" w:cs="Arial"/>
          <w:color w:val="auto"/>
        </w:rPr>
        <w:t xml:space="preserve">in-house has slipped spend </w:t>
      </w:r>
      <w:r w:rsidRPr="001254E0">
        <w:rPr>
          <w:rFonts w:eastAsiaTheme="minorHAnsi" w:cs="Arial"/>
          <w:color w:val="auto"/>
        </w:rPr>
        <w:t>of £0.372m</w:t>
      </w:r>
      <w:r w:rsidRPr="00B42FD6">
        <w:rPr>
          <w:rFonts w:eastAsiaTheme="minorHAnsi" w:cs="Arial"/>
          <w:color w:val="auto"/>
        </w:rPr>
        <w:t xml:space="preserve"> into 2018/19 due to delays in the delivery of the </w:t>
      </w:r>
      <w:r>
        <w:rPr>
          <w:rFonts w:eastAsiaTheme="minorHAnsi" w:cs="Arial"/>
          <w:color w:val="auto"/>
        </w:rPr>
        <w:t>works programme.</w:t>
      </w:r>
    </w:p>
    <w:p w:rsidR="00026737" w:rsidRPr="00B42FD6" w:rsidRDefault="008A011B" w:rsidP="00026737">
      <w:pPr>
        <w:pStyle w:val="ListParagraph"/>
        <w:numPr>
          <w:ilvl w:val="0"/>
          <w:numId w:val="34"/>
        </w:numPr>
        <w:autoSpaceDE/>
        <w:autoSpaceDN/>
        <w:adjustRightInd/>
        <w:spacing w:after="0" w:line="259" w:lineRule="auto"/>
        <w:rPr>
          <w:rFonts w:eastAsiaTheme="minorHAnsi" w:cs="Arial"/>
          <w:color w:val="auto"/>
        </w:rPr>
      </w:pPr>
      <w:r>
        <w:rPr>
          <w:rFonts w:eastAsiaTheme="minorHAnsi" w:cs="Arial"/>
          <w:color w:val="auto"/>
        </w:rPr>
        <w:t>Slippage on the</w:t>
      </w:r>
      <w:r w:rsidRPr="00B42FD6">
        <w:rPr>
          <w:rFonts w:eastAsiaTheme="minorHAnsi" w:cs="Arial"/>
          <w:color w:val="auto"/>
        </w:rPr>
        <w:t xml:space="preserve"> ICT budget of </w:t>
      </w:r>
      <w:r w:rsidRPr="001254E0">
        <w:rPr>
          <w:rFonts w:eastAsiaTheme="minorHAnsi" w:cs="Arial"/>
          <w:color w:val="auto"/>
        </w:rPr>
        <w:t xml:space="preserve">£0.865m </w:t>
      </w:r>
      <w:r w:rsidRPr="00B42FD6">
        <w:rPr>
          <w:rFonts w:eastAsiaTheme="minorHAnsi" w:cs="Arial"/>
          <w:color w:val="auto"/>
        </w:rPr>
        <w:t xml:space="preserve">in 2017/18. </w:t>
      </w:r>
      <w:r>
        <w:rPr>
          <w:rFonts w:eastAsiaTheme="minorHAnsi" w:cs="Arial"/>
          <w:color w:val="auto"/>
        </w:rPr>
        <w:t>W</w:t>
      </w:r>
      <w:r w:rsidRPr="00B42FD6">
        <w:rPr>
          <w:rFonts w:eastAsiaTheme="minorHAnsi" w:cs="Arial"/>
          <w:color w:val="auto"/>
        </w:rPr>
        <w:t>ork is to be undertaken in 2018/19 to ascertain the level of budget still required for this piece of work and any amount available for repurposing</w:t>
      </w:r>
      <w:r>
        <w:rPr>
          <w:rFonts w:eastAsiaTheme="minorHAnsi" w:cs="Arial"/>
          <w:color w:val="auto"/>
        </w:rPr>
        <w:t xml:space="preserve"> will be reported in 2018/19.</w:t>
      </w:r>
    </w:p>
    <w:p w:rsidR="00026737" w:rsidRDefault="00A953D6" w:rsidP="00026737">
      <w:pPr>
        <w:spacing w:after="0"/>
        <w:contextualSpacing/>
        <w:rPr>
          <w:rFonts w:cs="Arial"/>
          <w:color w:val="FF0000"/>
        </w:rPr>
      </w:pPr>
    </w:p>
    <w:p w:rsidR="00026737" w:rsidRPr="00735826" w:rsidRDefault="008A011B" w:rsidP="00026737">
      <w:pPr>
        <w:spacing w:after="0"/>
        <w:contextualSpacing/>
        <w:rPr>
          <w:rFonts w:cs="Arial"/>
          <w:b/>
          <w:u w:val="single"/>
        </w:rPr>
      </w:pPr>
      <w:r>
        <w:rPr>
          <w:rFonts w:cs="Arial"/>
          <w:b/>
          <w:color w:val="auto"/>
          <w:u w:val="single"/>
        </w:rPr>
        <w:t>4</w:t>
      </w:r>
      <w:r w:rsidRPr="006230B5">
        <w:rPr>
          <w:rFonts w:cs="Arial"/>
          <w:b/>
          <w:color w:val="auto"/>
          <w:u w:val="single"/>
        </w:rPr>
        <w:t xml:space="preserve">.6 Adults </w:t>
      </w:r>
      <w:r w:rsidRPr="00735826">
        <w:rPr>
          <w:rFonts w:cs="Arial"/>
          <w:b/>
          <w:u w:val="single"/>
        </w:rPr>
        <w:t>Social Care</w:t>
      </w:r>
    </w:p>
    <w:p w:rsidR="00026737" w:rsidRPr="00735826" w:rsidRDefault="00A953D6" w:rsidP="00026737">
      <w:pPr>
        <w:spacing w:after="0"/>
        <w:contextualSpacing/>
        <w:rPr>
          <w:rFonts w:cs="Arial"/>
          <w:b/>
          <w:u w:val="single"/>
        </w:rPr>
      </w:pPr>
    </w:p>
    <w:p w:rsidR="00026737" w:rsidRDefault="008A011B" w:rsidP="00026737">
      <w:pPr>
        <w:autoSpaceDE/>
        <w:autoSpaceDN/>
        <w:adjustRightInd/>
        <w:spacing w:after="0" w:line="259" w:lineRule="auto"/>
        <w:rPr>
          <w:rFonts w:eastAsiaTheme="minorHAnsi" w:cs="Arial"/>
          <w:color w:val="auto"/>
        </w:rPr>
      </w:pPr>
      <w:r w:rsidRPr="006230B5">
        <w:rPr>
          <w:rFonts w:eastAsiaTheme="minorHAnsi" w:cs="Arial"/>
          <w:color w:val="auto"/>
        </w:rPr>
        <w:t>The 2017/18 delivery budget for the Adults block of the capital programme was £14.070m. Outturn expenditure was £12.675m, representing expenditure less than budget of £1.395m.</w:t>
      </w:r>
    </w:p>
    <w:p w:rsidR="00026737" w:rsidRPr="006230B5" w:rsidRDefault="00A953D6" w:rsidP="00026737">
      <w:pPr>
        <w:autoSpaceDE/>
        <w:autoSpaceDN/>
        <w:adjustRightInd/>
        <w:spacing w:after="0" w:line="259" w:lineRule="auto"/>
        <w:rPr>
          <w:rFonts w:eastAsiaTheme="minorHAnsi" w:cs="Arial"/>
          <w:color w:val="auto"/>
        </w:rPr>
      </w:pPr>
    </w:p>
    <w:p w:rsidR="00026737" w:rsidRDefault="008A011B" w:rsidP="00026737">
      <w:pPr>
        <w:autoSpaceDE/>
        <w:autoSpaceDN/>
        <w:adjustRightInd/>
        <w:spacing w:after="0" w:line="259" w:lineRule="auto"/>
        <w:rPr>
          <w:rFonts w:eastAsiaTheme="minorHAnsi" w:cs="Arial"/>
          <w:color w:val="auto"/>
        </w:rPr>
      </w:pPr>
      <w:r w:rsidRPr="004D76E0">
        <w:rPr>
          <w:rFonts w:eastAsiaTheme="minorHAnsi" w:cs="Arial"/>
          <w:color w:val="auto"/>
        </w:rPr>
        <w:t>This can be summarised as follows:</w:t>
      </w:r>
    </w:p>
    <w:p w:rsidR="00026737" w:rsidRDefault="00A953D6" w:rsidP="00026737">
      <w:pPr>
        <w:autoSpaceDE/>
        <w:autoSpaceDN/>
        <w:adjustRightInd/>
        <w:spacing w:after="0" w:line="259" w:lineRule="auto"/>
        <w:rPr>
          <w:rFonts w:eastAsiaTheme="minorHAnsi" w:cs="Arial"/>
          <w:color w:val="auto"/>
        </w:rPr>
      </w:pPr>
    </w:p>
    <w:p w:rsidR="00026737" w:rsidRPr="001254E0" w:rsidRDefault="008A011B" w:rsidP="00026737">
      <w:pPr>
        <w:numPr>
          <w:ilvl w:val="0"/>
          <w:numId w:val="45"/>
        </w:numPr>
        <w:autoSpaceDE/>
        <w:autoSpaceDN/>
        <w:adjustRightInd/>
        <w:spacing w:after="0"/>
        <w:ind w:left="360"/>
        <w:contextualSpacing/>
        <w:rPr>
          <w:rFonts w:cs="Arial"/>
          <w:color w:val="000000" w:themeColor="text1"/>
        </w:rPr>
      </w:pPr>
      <w:r w:rsidRPr="00D76B7D">
        <w:rPr>
          <w:rFonts w:cs="Arial"/>
          <w:color w:val="000000" w:themeColor="text1"/>
        </w:rPr>
        <w:t xml:space="preserve">Projects have been identified to be funded from the Social Care Capital grant but work is not expected to start until 2018/19. This causes a slippage amount of </w:t>
      </w:r>
      <w:r w:rsidRPr="001254E0">
        <w:rPr>
          <w:rFonts w:cs="Arial"/>
          <w:color w:val="000000" w:themeColor="text1"/>
        </w:rPr>
        <w:t>£1.000m.</w:t>
      </w:r>
    </w:p>
    <w:p w:rsidR="00026737" w:rsidRDefault="008A011B" w:rsidP="00026737">
      <w:pPr>
        <w:pStyle w:val="ListParagraph"/>
        <w:numPr>
          <w:ilvl w:val="0"/>
          <w:numId w:val="35"/>
        </w:numPr>
        <w:autoSpaceDE/>
        <w:autoSpaceDN/>
        <w:adjustRightInd/>
        <w:spacing w:after="0" w:line="259" w:lineRule="auto"/>
        <w:ind w:left="360"/>
        <w:rPr>
          <w:rFonts w:eastAsiaTheme="minorHAnsi" w:cs="Arial"/>
          <w:color w:val="auto"/>
        </w:rPr>
      </w:pPr>
      <w:r w:rsidRPr="00C21D11">
        <w:rPr>
          <w:rFonts w:eastAsiaTheme="minorHAnsi" w:cs="Arial"/>
          <w:color w:val="auto"/>
        </w:rPr>
        <w:t xml:space="preserve">Changing places for severely disabled adult's pilots has slipped by </w:t>
      </w:r>
      <w:r w:rsidRPr="001254E0">
        <w:rPr>
          <w:rFonts w:eastAsiaTheme="minorHAnsi" w:cs="Arial"/>
          <w:color w:val="auto"/>
        </w:rPr>
        <w:t>£0.182m</w:t>
      </w:r>
      <w:r w:rsidRPr="00C21D11">
        <w:rPr>
          <w:rFonts w:eastAsiaTheme="minorHAnsi" w:cs="Arial"/>
          <w:color w:val="auto"/>
        </w:rPr>
        <w:t xml:space="preserve"> work in the year has commenced over both sites at Preston Bus Station and Preston Chapel Yard, although completion of Preston Chapel Yard has now slipped into 2018/19 due to delivery delay. This accounts for 0.0</w:t>
      </w:r>
      <w:r>
        <w:rPr>
          <w:rFonts w:eastAsiaTheme="minorHAnsi" w:cs="Arial"/>
          <w:color w:val="auto"/>
        </w:rPr>
        <w:t>3</w:t>
      </w:r>
      <w:r w:rsidRPr="00C21D11">
        <w:rPr>
          <w:rFonts w:eastAsiaTheme="minorHAnsi" w:cs="Arial"/>
          <w:color w:val="auto"/>
        </w:rPr>
        <w:t xml:space="preserve">7m of the slippage with the remaining slippage being unallocated budgets within the programme carried forward from previous years.  </w:t>
      </w:r>
    </w:p>
    <w:p w:rsidR="00026737" w:rsidRPr="006230B5" w:rsidRDefault="008A011B" w:rsidP="00026737">
      <w:pPr>
        <w:numPr>
          <w:ilvl w:val="0"/>
          <w:numId w:val="28"/>
        </w:numPr>
        <w:autoSpaceDE/>
        <w:autoSpaceDN/>
        <w:adjustRightInd/>
        <w:spacing w:after="0"/>
        <w:ind w:left="360"/>
        <w:contextualSpacing/>
        <w:rPr>
          <w:rFonts w:cs="Arial"/>
          <w:color w:val="000000" w:themeColor="text1"/>
        </w:rPr>
      </w:pPr>
      <w:r w:rsidRPr="001254E0">
        <w:rPr>
          <w:rFonts w:cs="Arial"/>
          <w:color w:val="000000" w:themeColor="text1"/>
        </w:rPr>
        <w:lastRenderedPageBreak/>
        <w:t>£0.213m</w:t>
      </w:r>
      <w:r w:rsidRPr="00D76B7D">
        <w:rPr>
          <w:rFonts w:cs="Arial"/>
          <w:color w:val="000000" w:themeColor="text1"/>
        </w:rPr>
        <w:t xml:space="preserve"> on the Libraries Regenerate</w:t>
      </w:r>
      <w:r>
        <w:rPr>
          <w:rFonts w:cs="Arial"/>
          <w:color w:val="000000" w:themeColor="text1"/>
        </w:rPr>
        <w:t xml:space="preserve"> due to </w:t>
      </w:r>
      <w:r w:rsidRPr="00D76B7D">
        <w:rPr>
          <w:rFonts w:cs="Arial"/>
          <w:color w:val="000000" w:themeColor="text1"/>
        </w:rPr>
        <w:t>monies not yet allocated to projects. This will be spent on the Libraries Regenerate programme in future years</w:t>
      </w:r>
      <w:r>
        <w:rPr>
          <w:rFonts w:cs="Arial"/>
          <w:color w:val="000000" w:themeColor="text1"/>
        </w:rPr>
        <w:t xml:space="preserve"> as projects are brought forward</w:t>
      </w:r>
      <w:r w:rsidRPr="00D76B7D">
        <w:rPr>
          <w:rFonts w:cs="Arial"/>
          <w:color w:val="000000" w:themeColor="text1"/>
        </w:rPr>
        <w:t xml:space="preserve">, and will be managed within the Property </w:t>
      </w:r>
      <w:r>
        <w:rPr>
          <w:rFonts w:cs="Arial"/>
          <w:color w:val="000000" w:themeColor="text1"/>
        </w:rPr>
        <w:t>P</w:t>
      </w:r>
      <w:r w:rsidRPr="00D76B7D">
        <w:rPr>
          <w:rFonts w:cs="Arial"/>
          <w:color w:val="000000" w:themeColor="text1"/>
        </w:rPr>
        <w:t xml:space="preserve">ortfolio within the corporate block of the programme from </w:t>
      </w:r>
      <w:r>
        <w:rPr>
          <w:rFonts w:cs="Arial"/>
          <w:color w:val="000000" w:themeColor="text1"/>
        </w:rPr>
        <w:t>20</w:t>
      </w:r>
      <w:r w:rsidRPr="00D76B7D">
        <w:rPr>
          <w:rFonts w:cs="Arial"/>
          <w:color w:val="000000" w:themeColor="text1"/>
        </w:rPr>
        <w:t>18/19 onwards</w:t>
      </w:r>
      <w:r>
        <w:rPr>
          <w:rFonts w:cs="Arial"/>
          <w:color w:val="000000" w:themeColor="text1"/>
        </w:rPr>
        <w:t>.</w:t>
      </w:r>
    </w:p>
    <w:p w:rsidR="00026737" w:rsidRPr="006230B5" w:rsidRDefault="00A953D6" w:rsidP="00026737">
      <w:pPr>
        <w:spacing w:after="0"/>
        <w:rPr>
          <w:rFonts w:cs="Arial"/>
          <w:b/>
          <w:i/>
          <w:color w:val="FF0000"/>
          <w:u w:val="single"/>
        </w:rPr>
      </w:pPr>
    </w:p>
    <w:p w:rsidR="00026737" w:rsidRPr="00735826" w:rsidRDefault="008A011B" w:rsidP="00026737">
      <w:pPr>
        <w:pStyle w:val="ListParagraph"/>
        <w:spacing w:after="0"/>
        <w:ind w:left="0"/>
        <w:rPr>
          <w:rFonts w:cs="Arial"/>
          <w:b/>
          <w:u w:val="single"/>
        </w:rPr>
      </w:pPr>
      <w:r>
        <w:rPr>
          <w:rFonts w:cs="Arial"/>
          <w:b/>
          <w:u w:val="single"/>
        </w:rPr>
        <w:t xml:space="preserve">4.7 </w:t>
      </w:r>
      <w:r w:rsidRPr="00735826">
        <w:rPr>
          <w:rFonts w:cs="Arial"/>
          <w:b/>
          <w:u w:val="single"/>
        </w:rPr>
        <w:t>Corporate</w:t>
      </w:r>
    </w:p>
    <w:p w:rsidR="00026737" w:rsidRPr="00735826" w:rsidRDefault="00A953D6" w:rsidP="00026737">
      <w:pPr>
        <w:pStyle w:val="ListParagraph"/>
        <w:spacing w:after="0"/>
        <w:ind w:left="0"/>
        <w:rPr>
          <w:rFonts w:cs="Arial"/>
          <w:b/>
          <w:u w:val="single"/>
        </w:rPr>
      </w:pPr>
    </w:p>
    <w:p w:rsidR="00026737" w:rsidRDefault="008A011B" w:rsidP="00026737">
      <w:pPr>
        <w:autoSpaceDE/>
        <w:autoSpaceDN/>
        <w:adjustRightInd/>
        <w:spacing w:after="0" w:line="259" w:lineRule="auto"/>
        <w:rPr>
          <w:rFonts w:eastAsiaTheme="minorHAnsi" w:cs="Arial"/>
          <w:color w:val="auto"/>
        </w:rPr>
      </w:pPr>
      <w:r w:rsidRPr="00A17B6E">
        <w:rPr>
          <w:rFonts w:eastAsiaTheme="minorHAnsi" w:cs="Arial"/>
          <w:color w:val="auto"/>
        </w:rPr>
        <w:t>The 2017/18 delivery budget for the Corporate block of the capital programme was £20.977m. Outturn expenditure was £12.645m, representing e</w:t>
      </w:r>
      <w:r>
        <w:rPr>
          <w:rFonts w:eastAsiaTheme="minorHAnsi" w:cs="Arial"/>
          <w:color w:val="auto"/>
        </w:rPr>
        <w:t xml:space="preserve">xpenditure less than budget of </w:t>
      </w:r>
      <w:r w:rsidRPr="00A17B6E">
        <w:rPr>
          <w:rFonts w:eastAsiaTheme="minorHAnsi" w:cs="Arial"/>
          <w:color w:val="auto"/>
        </w:rPr>
        <w:t>£8.332m</w:t>
      </w:r>
      <w:r>
        <w:rPr>
          <w:rFonts w:eastAsiaTheme="minorHAnsi" w:cs="Arial"/>
          <w:color w:val="auto"/>
        </w:rPr>
        <w:t xml:space="preserve"> made up of slippage of £7.063m, overspends of £0.500m and unallocated budgets of £1.769m.  Significant items to note include:</w:t>
      </w:r>
    </w:p>
    <w:p w:rsidR="00026737" w:rsidRPr="00A17B6E" w:rsidRDefault="00A953D6" w:rsidP="00026737">
      <w:pPr>
        <w:autoSpaceDE/>
        <w:autoSpaceDN/>
        <w:adjustRightInd/>
        <w:spacing w:after="0" w:line="259" w:lineRule="auto"/>
        <w:rPr>
          <w:rFonts w:eastAsiaTheme="minorHAnsi" w:cs="Arial"/>
          <w:color w:val="auto"/>
        </w:rPr>
      </w:pPr>
    </w:p>
    <w:p w:rsidR="00026737" w:rsidRPr="001254E0" w:rsidRDefault="008A011B" w:rsidP="00026737">
      <w:pPr>
        <w:numPr>
          <w:ilvl w:val="0"/>
          <w:numId w:val="36"/>
        </w:numPr>
        <w:autoSpaceDE/>
        <w:autoSpaceDN/>
        <w:adjustRightInd/>
        <w:spacing w:after="0" w:line="259" w:lineRule="auto"/>
        <w:contextualSpacing/>
        <w:rPr>
          <w:rFonts w:cs="Arial"/>
          <w:color w:val="000000" w:themeColor="text1"/>
        </w:rPr>
      </w:pPr>
      <w:r w:rsidRPr="00A07847">
        <w:rPr>
          <w:rFonts w:cs="Arial"/>
          <w:color w:val="000000" w:themeColor="text1"/>
        </w:rPr>
        <w:t>£1.769</w:t>
      </w:r>
      <w:r>
        <w:rPr>
          <w:rFonts w:cs="Arial"/>
          <w:color w:val="000000" w:themeColor="text1"/>
        </w:rPr>
        <w:t>m</w:t>
      </w:r>
      <w:r w:rsidRPr="00A07847">
        <w:rPr>
          <w:rFonts w:cs="Arial"/>
          <w:color w:val="000000" w:themeColor="text1"/>
        </w:rPr>
        <w:t xml:space="preserve"> of the Economic Development </w:t>
      </w:r>
      <w:r>
        <w:rPr>
          <w:rFonts w:cs="Arial"/>
          <w:color w:val="000000" w:themeColor="text1"/>
        </w:rPr>
        <w:t xml:space="preserve">was </w:t>
      </w:r>
      <w:r w:rsidRPr="00A07847">
        <w:rPr>
          <w:rFonts w:cs="Arial"/>
          <w:color w:val="000000" w:themeColor="text1"/>
        </w:rPr>
        <w:t xml:space="preserve">unallocated </w:t>
      </w:r>
      <w:r>
        <w:rPr>
          <w:rFonts w:cs="Arial"/>
          <w:color w:val="000000" w:themeColor="text1"/>
        </w:rPr>
        <w:t>at 31</w:t>
      </w:r>
      <w:r w:rsidRPr="00C4561B">
        <w:rPr>
          <w:rFonts w:cs="Arial"/>
          <w:color w:val="000000" w:themeColor="text1"/>
          <w:vertAlign w:val="superscript"/>
        </w:rPr>
        <w:t>st</w:t>
      </w:r>
      <w:r>
        <w:rPr>
          <w:rFonts w:cs="Arial"/>
          <w:color w:val="000000" w:themeColor="text1"/>
        </w:rPr>
        <w:t xml:space="preserve"> March 2018. £</w:t>
      </w:r>
      <w:r w:rsidRPr="00A07847">
        <w:rPr>
          <w:rFonts w:cs="Arial"/>
          <w:color w:val="000000" w:themeColor="text1"/>
        </w:rPr>
        <w:t>1.500m</w:t>
      </w:r>
      <w:r>
        <w:rPr>
          <w:rFonts w:cs="Arial"/>
          <w:color w:val="000000" w:themeColor="text1"/>
        </w:rPr>
        <w:t xml:space="preserve"> has been allocated</w:t>
      </w:r>
      <w:r w:rsidRPr="00A07847">
        <w:rPr>
          <w:rFonts w:cs="Arial"/>
          <w:color w:val="000000" w:themeColor="text1"/>
        </w:rPr>
        <w:t xml:space="preserve"> to </w:t>
      </w:r>
      <w:r>
        <w:rPr>
          <w:rFonts w:cs="Arial"/>
          <w:color w:val="000000" w:themeColor="text1"/>
        </w:rPr>
        <w:t xml:space="preserve">the </w:t>
      </w:r>
      <w:r w:rsidRPr="00A07847">
        <w:rPr>
          <w:rFonts w:cs="Arial"/>
          <w:color w:val="000000" w:themeColor="text1"/>
        </w:rPr>
        <w:t>Lomeshaye industrial estate project</w:t>
      </w:r>
      <w:r>
        <w:rPr>
          <w:rFonts w:cs="Arial"/>
          <w:color w:val="000000" w:themeColor="text1"/>
        </w:rPr>
        <w:t xml:space="preserve"> - a major strategic development opportunity in East Lancashire, though expenditure has been delayed </w:t>
      </w:r>
      <w:r w:rsidRPr="00A07847">
        <w:rPr>
          <w:rFonts w:cs="Arial"/>
          <w:color w:val="000000" w:themeColor="text1"/>
        </w:rPr>
        <w:t xml:space="preserve">until </w:t>
      </w:r>
      <w:r>
        <w:rPr>
          <w:rFonts w:cs="Arial"/>
          <w:color w:val="000000" w:themeColor="text1"/>
        </w:rPr>
        <w:t>20</w:t>
      </w:r>
      <w:r w:rsidRPr="00A07847">
        <w:rPr>
          <w:rFonts w:cs="Arial"/>
          <w:color w:val="000000" w:themeColor="text1"/>
        </w:rPr>
        <w:t xml:space="preserve">18/19 to </w:t>
      </w:r>
      <w:r>
        <w:rPr>
          <w:rFonts w:cs="Arial"/>
          <w:color w:val="000000" w:themeColor="text1"/>
        </w:rPr>
        <w:t xml:space="preserve">enable local </w:t>
      </w:r>
      <w:r w:rsidRPr="00A07847">
        <w:rPr>
          <w:rFonts w:cs="Arial"/>
          <w:color w:val="000000" w:themeColor="text1"/>
        </w:rPr>
        <w:t xml:space="preserve">partners </w:t>
      </w:r>
      <w:r>
        <w:rPr>
          <w:rFonts w:cs="Arial"/>
          <w:color w:val="000000" w:themeColor="text1"/>
        </w:rPr>
        <w:t xml:space="preserve">to complete agreed planning matters.  The remainder of the budget allocation will be drawn-down in 2018/19 to support the delivery of agreed development priorities. </w:t>
      </w:r>
      <w:r w:rsidRPr="00A07847">
        <w:rPr>
          <w:rFonts w:cs="Arial"/>
          <w:color w:val="000000" w:themeColor="text1"/>
        </w:rPr>
        <w:t>This represents total slippage</w:t>
      </w:r>
      <w:r>
        <w:rPr>
          <w:rFonts w:cs="Arial"/>
          <w:color w:val="000000" w:themeColor="text1"/>
        </w:rPr>
        <w:t xml:space="preserve"> in year</w:t>
      </w:r>
      <w:r w:rsidRPr="00A07847">
        <w:rPr>
          <w:rFonts w:cs="Arial"/>
          <w:color w:val="000000" w:themeColor="text1"/>
        </w:rPr>
        <w:t xml:space="preserve"> of £</w:t>
      </w:r>
      <w:r w:rsidRPr="001254E0">
        <w:rPr>
          <w:rFonts w:cs="Arial"/>
          <w:color w:val="000000" w:themeColor="text1"/>
        </w:rPr>
        <w:t>3.269m.</w:t>
      </w:r>
    </w:p>
    <w:p w:rsidR="00026737" w:rsidRPr="00A07847" w:rsidRDefault="008A011B" w:rsidP="00026737">
      <w:pPr>
        <w:pStyle w:val="ListParagraph"/>
        <w:numPr>
          <w:ilvl w:val="0"/>
          <w:numId w:val="36"/>
        </w:numPr>
        <w:autoSpaceDE/>
        <w:autoSpaceDN/>
        <w:adjustRightInd/>
        <w:spacing w:after="0" w:line="259" w:lineRule="auto"/>
        <w:rPr>
          <w:rFonts w:eastAsiaTheme="minorHAnsi" w:cs="Arial"/>
          <w:color w:val="auto"/>
        </w:rPr>
      </w:pPr>
      <w:r w:rsidRPr="00A07847">
        <w:rPr>
          <w:rFonts w:eastAsiaTheme="minorHAnsi" w:cs="Arial"/>
          <w:color w:val="auto"/>
        </w:rPr>
        <w:t>An over</w:t>
      </w:r>
      <w:r>
        <w:rPr>
          <w:rFonts w:eastAsiaTheme="minorHAnsi" w:cs="Arial"/>
          <w:color w:val="auto"/>
        </w:rPr>
        <w:t xml:space="preserve"> </w:t>
      </w:r>
      <w:r w:rsidRPr="00A07847">
        <w:rPr>
          <w:rFonts w:eastAsiaTheme="minorHAnsi" w:cs="Arial"/>
          <w:color w:val="auto"/>
        </w:rPr>
        <w:t xml:space="preserve">spend of </w:t>
      </w:r>
      <w:r w:rsidRPr="001254E0">
        <w:rPr>
          <w:rFonts w:eastAsiaTheme="minorHAnsi" w:cs="Arial"/>
          <w:color w:val="auto"/>
        </w:rPr>
        <w:t>£0.500m</w:t>
      </w:r>
      <w:r w:rsidRPr="00A07847">
        <w:rPr>
          <w:rFonts w:eastAsiaTheme="minorHAnsi" w:cs="Arial"/>
          <w:color w:val="auto"/>
        </w:rPr>
        <w:t xml:space="preserve"> on the Core System Transformation</w:t>
      </w:r>
      <w:r>
        <w:rPr>
          <w:rFonts w:eastAsiaTheme="minorHAnsi" w:cs="Arial"/>
          <w:color w:val="auto"/>
        </w:rPr>
        <w:t xml:space="preserve"> projects</w:t>
      </w:r>
      <w:r w:rsidRPr="00A07847">
        <w:rPr>
          <w:rFonts w:eastAsiaTheme="minorHAnsi" w:cs="Arial"/>
          <w:color w:val="auto"/>
        </w:rPr>
        <w:t xml:space="preserve">. This is due to the increased costs of the Oracle modules and other spend on projects </w:t>
      </w:r>
      <w:r>
        <w:rPr>
          <w:rFonts w:eastAsiaTheme="minorHAnsi" w:cs="Arial"/>
          <w:color w:val="auto"/>
        </w:rPr>
        <w:t xml:space="preserve">to completion in 2017/18 which had no available budget. </w:t>
      </w:r>
    </w:p>
    <w:p w:rsidR="00026737" w:rsidRPr="00A07847" w:rsidRDefault="008A011B" w:rsidP="00026737">
      <w:pPr>
        <w:numPr>
          <w:ilvl w:val="0"/>
          <w:numId w:val="36"/>
        </w:numPr>
        <w:autoSpaceDE/>
        <w:autoSpaceDN/>
        <w:adjustRightInd/>
        <w:spacing w:after="0" w:line="259" w:lineRule="auto"/>
        <w:contextualSpacing/>
        <w:rPr>
          <w:rFonts w:cs="Arial"/>
          <w:color w:val="000000" w:themeColor="text1"/>
        </w:rPr>
      </w:pPr>
      <w:r w:rsidRPr="00A07847">
        <w:rPr>
          <w:rFonts w:cs="Arial"/>
          <w:color w:val="000000" w:themeColor="text1"/>
        </w:rPr>
        <w:t xml:space="preserve">The Superfast Broadband project has slipped </w:t>
      </w:r>
      <w:r w:rsidRPr="001254E0">
        <w:rPr>
          <w:rFonts w:cs="Arial"/>
          <w:color w:val="000000" w:themeColor="text1"/>
        </w:rPr>
        <w:t>£1.118m</w:t>
      </w:r>
      <w:r w:rsidRPr="00A07847">
        <w:rPr>
          <w:rFonts w:cs="Arial"/>
          <w:color w:val="000000" w:themeColor="text1"/>
        </w:rPr>
        <w:t xml:space="preserve"> of the 2017/18 expected delivery into future years</w:t>
      </w:r>
      <w:r>
        <w:rPr>
          <w:rFonts w:cs="Arial"/>
          <w:color w:val="000000" w:themeColor="text1"/>
        </w:rPr>
        <w:t>.</w:t>
      </w:r>
    </w:p>
    <w:p w:rsidR="00026737" w:rsidRPr="00A07847" w:rsidRDefault="008A011B" w:rsidP="00026737">
      <w:pPr>
        <w:pStyle w:val="ListParagraph"/>
        <w:numPr>
          <w:ilvl w:val="0"/>
          <w:numId w:val="36"/>
        </w:numPr>
        <w:autoSpaceDE/>
        <w:autoSpaceDN/>
        <w:adjustRightInd/>
        <w:spacing w:after="0" w:line="259" w:lineRule="auto"/>
        <w:rPr>
          <w:rFonts w:eastAsiaTheme="minorHAnsi" w:cs="Arial"/>
          <w:color w:val="auto"/>
        </w:rPr>
      </w:pPr>
      <w:r w:rsidRPr="00A07847">
        <w:rPr>
          <w:rFonts w:eastAsiaTheme="minorHAnsi" w:cs="Arial"/>
          <w:color w:val="auto"/>
        </w:rPr>
        <w:t xml:space="preserve">Slippage of </w:t>
      </w:r>
      <w:r w:rsidRPr="001254E0">
        <w:rPr>
          <w:rFonts w:eastAsiaTheme="minorHAnsi" w:cs="Arial"/>
          <w:color w:val="auto"/>
        </w:rPr>
        <w:t>£</w:t>
      </w:r>
      <w:r>
        <w:rPr>
          <w:rFonts w:eastAsiaTheme="minorHAnsi" w:cs="Arial"/>
          <w:color w:val="auto"/>
        </w:rPr>
        <w:t>4.445</w:t>
      </w:r>
      <w:r w:rsidRPr="001254E0">
        <w:rPr>
          <w:rFonts w:eastAsiaTheme="minorHAnsi" w:cs="Arial"/>
          <w:color w:val="auto"/>
        </w:rPr>
        <w:t>m</w:t>
      </w:r>
      <w:r w:rsidRPr="00A07847">
        <w:rPr>
          <w:rFonts w:eastAsiaTheme="minorHAnsi" w:cs="Arial"/>
          <w:color w:val="auto"/>
        </w:rPr>
        <w:t xml:space="preserve"> on a range of</w:t>
      </w:r>
      <w:r>
        <w:rPr>
          <w:rFonts w:eastAsiaTheme="minorHAnsi" w:cs="Arial"/>
          <w:color w:val="auto"/>
        </w:rPr>
        <w:t xml:space="preserve"> other</w:t>
      </w:r>
      <w:r w:rsidRPr="00A07847">
        <w:rPr>
          <w:rFonts w:eastAsiaTheme="minorHAnsi" w:cs="Arial"/>
          <w:color w:val="auto"/>
        </w:rPr>
        <w:t xml:space="preserve"> projects including the property programme,  green energy programme, contributions to </w:t>
      </w:r>
      <w:r>
        <w:rPr>
          <w:rFonts w:eastAsiaTheme="minorHAnsi" w:cs="Arial"/>
          <w:color w:val="auto"/>
        </w:rPr>
        <w:t>B</w:t>
      </w:r>
      <w:r w:rsidRPr="00A07847">
        <w:rPr>
          <w:rFonts w:eastAsiaTheme="minorHAnsi" w:cs="Arial"/>
          <w:color w:val="auto"/>
        </w:rPr>
        <w:t xml:space="preserve">rierfield </w:t>
      </w:r>
      <w:r>
        <w:rPr>
          <w:rFonts w:eastAsiaTheme="minorHAnsi" w:cs="Arial"/>
          <w:color w:val="auto"/>
        </w:rPr>
        <w:t>M</w:t>
      </w:r>
      <w:r w:rsidRPr="00A07847">
        <w:rPr>
          <w:rFonts w:eastAsiaTheme="minorHAnsi" w:cs="Arial"/>
          <w:color w:val="auto"/>
        </w:rPr>
        <w:t>ill and several ICT projects are due to delays in planned expenditure and are now forecast to be spent in future years.</w:t>
      </w:r>
    </w:p>
    <w:p w:rsidR="00026737" w:rsidRPr="00735826" w:rsidRDefault="00A953D6" w:rsidP="00026737">
      <w:pPr>
        <w:autoSpaceDE/>
        <w:autoSpaceDN/>
        <w:adjustRightInd/>
        <w:spacing w:after="0" w:line="259" w:lineRule="auto"/>
        <w:contextualSpacing/>
        <w:rPr>
          <w:rFonts w:cs="Arial"/>
          <w:i/>
          <w:color w:val="FF0000"/>
        </w:rPr>
      </w:pPr>
    </w:p>
    <w:p w:rsidR="00026737" w:rsidRPr="00735826" w:rsidRDefault="008A011B" w:rsidP="00026737">
      <w:pPr>
        <w:spacing w:after="0"/>
        <w:contextualSpacing/>
        <w:rPr>
          <w:rFonts w:cs="Arial"/>
          <w:b/>
          <w:u w:val="single"/>
        </w:rPr>
      </w:pPr>
      <w:r>
        <w:rPr>
          <w:rFonts w:cs="Arial"/>
          <w:b/>
          <w:u w:val="single"/>
        </w:rPr>
        <w:t xml:space="preserve">4.8 </w:t>
      </w:r>
      <w:r w:rsidRPr="00735826">
        <w:rPr>
          <w:rFonts w:cs="Arial"/>
          <w:b/>
          <w:u w:val="single"/>
        </w:rPr>
        <w:t xml:space="preserve">Vehicles </w:t>
      </w:r>
    </w:p>
    <w:p w:rsidR="00026737" w:rsidRPr="00735826" w:rsidRDefault="00A953D6" w:rsidP="00026737">
      <w:pPr>
        <w:spacing w:after="0"/>
        <w:contextualSpacing/>
        <w:rPr>
          <w:rFonts w:cs="Arial"/>
          <w:b/>
          <w:u w:val="single"/>
        </w:rPr>
      </w:pPr>
    </w:p>
    <w:p w:rsidR="00026737" w:rsidRDefault="008A011B" w:rsidP="00026737">
      <w:pPr>
        <w:spacing w:after="0"/>
        <w:contextualSpacing/>
        <w:rPr>
          <w:rFonts w:cs="Arial"/>
        </w:rPr>
      </w:pPr>
      <w:r w:rsidRPr="00735826">
        <w:rPr>
          <w:rFonts w:cs="Arial"/>
        </w:rPr>
        <w:t xml:space="preserve">The total underspend of </w:t>
      </w:r>
      <w:r w:rsidRPr="001254E0">
        <w:rPr>
          <w:rFonts w:cs="Arial"/>
        </w:rPr>
        <w:t>£0.510m</w:t>
      </w:r>
      <w:r w:rsidRPr="00735826">
        <w:rPr>
          <w:rFonts w:cs="Arial"/>
        </w:rPr>
        <w:t xml:space="preserve"> represents slipped delivery due </w:t>
      </w:r>
      <w:r>
        <w:rPr>
          <w:rFonts w:cs="Arial"/>
        </w:rPr>
        <w:t xml:space="preserve">to delayed delivery of the vehicles which are subject to long delivery lead times. </w:t>
      </w:r>
    </w:p>
    <w:p w:rsidR="00026737"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7012B" w:rsidRDefault="00A953D6" w:rsidP="00026737">
      <w:pPr>
        <w:spacing w:after="0"/>
        <w:rPr>
          <w:rFonts w:cs="Arial"/>
        </w:rPr>
      </w:pPr>
    </w:p>
    <w:p w:rsidR="00790708" w:rsidRDefault="00A953D6" w:rsidP="00026737">
      <w:pPr>
        <w:autoSpaceDE/>
        <w:autoSpaceDN/>
        <w:adjustRightInd/>
        <w:spacing w:after="0"/>
        <w:jc w:val="left"/>
        <w:rPr>
          <w:rFonts w:cs="Arial"/>
        </w:rPr>
      </w:pPr>
    </w:p>
    <w:p w:rsidR="00026737" w:rsidRDefault="008A011B" w:rsidP="00026737">
      <w:pPr>
        <w:autoSpaceDE/>
        <w:autoSpaceDN/>
        <w:adjustRightInd/>
        <w:spacing w:after="0"/>
        <w:jc w:val="left"/>
        <w:rPr>
          <w:rFonts w:cs="Arial"/>
          <w:b/>
          <w:bCs/>
        </w:rPr>
      </w:pPr>
      <w:r w:rsidRPr="00F870C5">
        <w:rPr>
          <w:rFonts w:cs="Arial"/>
          <w:b/>
          <w:bCs/>
        </w:rPr>
        <w:lastRenderedPageBreak/>
        <w:t>Section C – Co</w:t>
      </w:r>
      <w:r>
        <w:rPr>
          <w:rFonts w:cs="Arial"/>
          <w:b/>
          <w:bCs/>
        </w:rPr>
        <w:t xml:space="preserve">unty Fund Balance, Reserves, </w:t>
      </w:r>
      <w:r w:rsidRPr="00F870C5">
        <w:rPr>
          <w:rFonts w:cs="Arial"/>
          <w:b/>
          <w:bCs/>
        </w:rPr>
        <w:t>Provisions</w:t>
      </w:r>
      <w:r>
        <w:rPr>
          <w:rFonts w:cs="Arial"/>
          <w:b/>
          <w:bCs/>
        </w:rPr>
        <w:t xml:space="preserve"> and Capital Receipts</w:t>
      </w:r>
    </w:p>
    <w:p w:rsidR="00026737" w:rsidRDefault="00A953D6" w:rsidP="00026737">
      <w:pPr>
        <w:tabs>
          <w:tab w:val="left" w:pos="1447"/>
          <w:tab w:val="left" w:pos="1927"/>
        </w:tabs>
        <w:spacing w:after="0"/>
        <w:ind w:right="-46"/>
        <w:rPr>
          <w:rFonts w:cs="Arial"/>
          <w:b/>
          <w:bCs/>
        </w:rPr>
      </w:pPr>
    </w:p>
    <w:p w:rsidR="00026737" w:rsidRDefault="008A011B" w:rsidP="00026737">
      <w:pPr>
        <w:tabs>
          <w:tab w:val="left" w:pos="851"/>
          <w:tab w:val="left" w:pos="1927"/>
        </w:tabs>
        <w:spacing w:after="0"/>
        <w:ind w:right="-46"/>
        <w:rPr>
          <w:rFonts w:cs="Arial"/>
          <w:b/>
          <w:bCs/>
        </w:rPr>
      </w:pPr>
      <w:r>
        <w:rPr>
          <w:rFonts w:cs="Arial"/>
          <w:b/>
          <w:bCs/>
        </w:rPr>
        <w:t>5.</w:t>
      </w:r>
      <w:r>
        <w:rPr>
          <w:rFonts w:cs="Arial"/>
          <w:b/>
          <w:bCs/>
        </w:rPr>
        <w:tab/>
        <w:t>Revenue Reserves as at 31</w:t>
      </w:r>
      <w:r w:rsidRPr="006230B5">
        <w:rPr>
          <w:rFonts w:cs="Arial"/>
          <w:b/>
          <w:bCs/>
          <w:vertAlign w:val="superscript"/>
        </w:rPr>
        <w:t>st</w:t>
      </w:r>
      <w:r>
        <w:rPr>
          <w:rFonts w:cs="Arial"/>
          <w:b/>
          <w:bCs/>
        </w:rPr>
        <w:t xml:space="preserve"> March 2018</w:t>
      </w:r>
    </w:p>
    <w:p w:rsidR="00026737" w:rsidRDefault="00A953D6" w:rsidP="00026737">
      <w:pPr>
        <w:tabs>
          <w:tab w:val="left" w:pos="1447"/>
          <w:tab w:val="left" w:pos="1927"/>
        </w:tabs>
        <w:spacing w:after="0"/>
        <w:ind w:right="-46"/>
        <w:rPr>
          <w:rFonts w:cs="Arial"/>
          <w:b/>
          <w:bCs/>
        </w:rPr>
      </w:pPr>
    </w:p>
    <w:p w:rsidR="00026737" w:rsidRDefault="008A011B" w:rsidP="00026737">
      <w:pPr>
        <w:tabs>
          <w:tab w:val="left" w:pos="1447"/>
          <w:tab w:val="left" w:pos="1927"/>
        </w:tabs>
        <w:spacing w:after="0"/>
        <w:ind w:right="-46"/>
        <w:rPr>
          <w:rFonts w:cs="Arial"/>
          <w:bCs/>
        </w:rPr>
      </w:pPr>
      <w:r>
        <w:rPr>
          <w:rFonts w:cs="Arial"/>
          <w:bCs/>
        </w:rPr>
        <w:t>Table 1 below shows the summary position for revenue reserves as at 31</w:t>
      </w:r>
      <w:r w:rsidRPr="00821BB5">
        <w:rPr>
          <w:rFonts w:cs="Arial"/>
          <w:bCs/>
          <w:vertAlign w:val="superscript"/>
        </w:rPr>
        <w:t>st</w:t>
      </w:r>
      <w:r>
        <w:rPr>
          <w:rFonts w:cs="Arial"/>
          <w:bCs/>
        </w:rPr>
        <w:t xml:space="preserve"> March 2018:</w:t>
      </w:r>
    </w:p>
    <w:p w:rsidR="00026737" w:rsidRPr="00821BB5" w:rsidRDefault="00A953D6" w:rsidP="00026737">
      <w:pPr>
        <w:tabs>
          <w:tab w:val="left" w:pos="1447"/>
          <w:tab w:val="left" w:pos="1927"/>
        </w:tabs>
        <w:spacing w:after="0"/>
        <w:ind w:right="-46"/>
        <w:rPr>
          <w:rFonts w:cs="Arial"/>
          <w:bCs/>
        </w:rPr>
      </w:pPr>
    </w:p>
    <w:p w:rsidR="00026737" w:rsidRPr="00821BB5" w:rsidRDefault="008A011B" w:rsidP="00026737">
      <w:pPr>
        <w:spacing w:after="0"/>
        <w:rPr>
          <w:i/>
          <w:u w:val="single"/>
        </w:rPr>
      </w:pPr>
      <w:r w:rsidRPr="00821BB5">
        <w:rPr>
          <w:i/>
          <w:u w:val="single"/>
        </w:rPr>
        <w:t>Table 1</w:t>
      </w:r>
    </w:p>
    <w:p w:rsidR="00026737" w:rsidRPr="00821BB5" w:rsidRDefault="00A953D6" w:rsidP="00026737">
      <w:pPr>
        <w:spacing w:after="0"/>
      </w:pPr>
    </w:p>
    <w:tbl>
      <w:tblPr>
        <w:tblW w:w="10083" w:type="dxa"/>
        <w:tblInd w:w="-436" w:type="dxa"/>
        <w:tblLook w:val="04A0" w:firstRow="1" w:lastRow="0" w:firstColumn="1" w:lastColumn="0" w:noHBand="0" w:noVBand="1"/>
      </w:tblPr>
      <w:tblGrid>
        <w:gridCol w:w="1560"/>
        <w:gridCol w:w="1276"/>
        <w:gridCol w:w="1488"/>
        <w:gridCol w:w="1205"/>
        <w:gridCol w:w="1134"/>
        <w:gridCol w:w="1134"/>
        <w:gridCol w:w="1134"/>
        <w:gridCol w:w="1152"/>
      </w:tblGrid>
      <w:tr w:rsidR="006D1BD3" w:rsidTr="00026737">
        <w:trPr>
          <w:trHeight w:val="1125"/>
        </w:trPr>
        <w:tc>
          <w:tcPr>
            <w:tcW w:w="156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bookmarkStart w:id="1" w:name="RANGE!B2:I16"/>
            <w:r w:rsidRPr="006C3254">
              <w:rPr>
                <w:rFonts w:eastAsia="Times New Roman" w:cs="Arial"/>
                <w:b/>
                <w:bCs/>
                <w:sz w:val="22"/>
                <w:szCs w:val="22"/>
                <w:lang w:eastAsia="en-GB"/>
              </w:rPr>
              <w:t>Reserve Name</w:t>
            </w:r>
            <w:bookmarkEnd w:id="1"/>
          </w:p>
        </w:tc>
        <w:tc>
          <w:tcPr>
            <w:tcW w:w="1276"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Approved at Full Council Feb 2017</w:t>
            </w:r>
          </w:p>
        </w:tc>
        <w:tc>
          <w:tcPr>
            <w:tcW w:w="1488"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2017/18 </w:t>
            </w:r>
            <w:r>
              <w:rPr>
                <w:rFonts w:eastAsia="Times New Roman" w:cs="Arial"/>
                <w:b/>
                <w:bCs/>
                <w:sz w:val="22"/>
                <w:szCs w:val="22"/>
                <w:lang w:eastAsia="en-GB"/>
              </w:rPr>
              <w:t xml:space="preserve">Net </w:t>
            </w:r>
            <w:r w:rsidRPr="006C3254">
              <w:rPr>
                <w:rFonts w:eastAsia="Times New Roman" w:cs="Arial"/>
                <w:b/>
                <w:bCs/>
                <w:sz w:val="22"/>
                <w:szCs w:val="22"/>
                <w:lang w:eastAsia="en-GB"/>
              </w:rPr>
              <w:t>Expenditure</w:t>
            </w:r>
          </w:p>
        </w:tc>
        <w:tc>
          <w:tcPr>
            <w:tcW w:w="1205"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2017/18 transfers </w:t>
            </w:r>
            <w:r>
              <w:rPr>
                <w:rFonts w:eastAsia="Times New Roman" w:cs="Arial"/>
                <w:b/>
                <w:bCs/>
                <w:sz w:val="22"/>
                <w:szCs w:val="22"/>
                <w:lang w:eastAsia="en-GB"/>
              </w:rPr>
              <w:t>between</w:t>
            </w:r>
            <w:r w:rsidRPr="006C3254">
              <w:rPr>
                <w:rFonts w:eastAsia="Times New Roman" w:cs="Arial"/>
                <w:b/>
                <w:bCs/>
                <w:sz w:val="22"/>
                <w:szCs w:val="22"/>
                <w:lang w:eastAsia="en-GB"/>
              </w:rPr>
              <w:t xml:space="preserve"> reserves</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2017/18 Closing Balance</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2018/19 Forecast Spend</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2019/20 Forecast Spend</w:t>
            </w:r>
          </w:p>
        </w:tc>
        <w:tc>
          <w:tcPr>
            <w:tcW w:w="1152" w:type="dxa"/>
            <w:tcBorders>
              <w:top w:val="single" w:sz="8" w:space="0" w:color="auto"/>
              <w:left w:val="nil"/>
              <w:bottom w:val="single" w:sz="4" w:space="0" w:color="auto"/>
              <w:right w:val="single" w:sz="8"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Total as at 31 March 2020</w:t>
            </w:r>
          </w:p>
        </w:tc>
      </w:tr>
      <w:tr w:rsidR="006D1BD3" w:rsidTr="00026737">
        <w:trPr>
          <w:trHeight w:val="255"/>
        </w:trPr>
        <w:tc>
          <w:tcPr>
            <w:tcW w:w="1560" w:type="dxa"/>
            <w:tcBorders>
              <w:top w:val="nil"/>
              <w:left w:val="single" w:sz="8" w:space="0" w:color="auto"/>
              <w:bottom w:val="single" w:sz="4" w:space="0" w:color="auto"/>
              <w:right w:val="single" w:sz="4" w:space="0" w:color="auto"/>
            </w:tcBorders>
            <w:shd w:val="clear" w:color="000000" w:fill="BFBFBF"/>
            <w:vAlign w:val="bottom"/>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w:t>
            </w:r>
          </w:p>
        </w:tc>
        <w:tc>
          <w:tcPr>
            <w:tcW w:w="1276"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488"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205"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134"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152" w:type="dxa"/>
            <w:tcBorders>
              <w:top w:val="nil"/>
              <w:left w:val="nil"/>
              <w:bottom w:val="single" w:sz="4" w:space="0" w:color="auto"/>
              <w:right w:val="single" w:sz="8"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County Fund</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-36.000</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2.563</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10.000</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-23.437</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-23.437</w:t>
            </w:r>
          </w:p>
        </w:tc>
      </w:tr>
      <w:tr w:rsidR="006D1BD3" w:rsidTr="00026737">
        <w:trPr>
          <w:trHeight w:val="638"/>
        </w:trPr>
        <w:tc>
          <w:tcPr>
            <w:tcW w:w="1560" w:type="dxa"/>
            <w:tcBorders>
              <w:top w:val="nil"/>
              <w:left w:val="single" w:sz="8" w:space="0" w:color="auto"/>
              <w:bottom w:val="single" w:sz="8"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left"/>
              <w:rPr>
                <w:rFonts w:eastAsia="Times New Roman" w:cs="Arial"/>
                <w:b/>
                <w:bCs/>
                <w:sz w:val="22"/>
                <w:szCs w:val="22"/>
                <w:lang w:eastAsia="en-GB"/>
              </w:rPr>
            </w:pPr>
            <w:r w:rsidRPr="006C3254">
              <w:rPr>
                <w:rFonts w:eastAsia="Times New Roman" w:cs="Arial"/>
                <w:b/>
                <w:bCs/>
                <w:sz w:val="22"/>
                <w:szCs w:val="22"/>
                <w:lang w:eastAsia="en-GB"/>
              </w:rPr>
              <w:t>SUB TOTAL - COUNTY FUND</w:t>
            </w:r>
          </w:p>
        </w:tc>
        <w:tc>
          <w:tcPr>
            <w:tcW w:w="1276"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-36.000</w:t>
            </w:r>
          </w:p>
        </w:tc>
        <w:tc>
          <w:tcPr>
            <w:tcW w:w="1488"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2.563</w:t>
            </w:r>
          </w:p>
        </w:tc>
        <w:tc>
          <w:tcPr>
            <w:tcW w:w="1205"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10.000</w:t>
            </w:r>
          </w:p>
        </w:tc>
        <w:tc>
          <w:tcPr>
            <w:tcW w:w="1134"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-23.437</w:t>
            </w:r>
          </w:p>
        </w:tc>
        <w:tc>
          <w:tcPr>
            <w:tcW w:w="1134"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0.000</w:t>
            </w:r>
          </w:p>
        </w:tc>
        <w:tc>
          <w:tcPr>
            <w:tcW w:w="1134"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0.000</w:t>
            </w:r>
          </w:p>
        </w:tc>
        <w:tc>
          <w:tcPr>
            <w:tcW w:w="1152" w:type="dxa"/>
            <w:tcBorders>
              <w:top w:val="nil"/>
              <w:left w:val="nil"/>
              <w:bottom w:val="single" w:sz="8"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-23.437</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Strategic Investment Reserve</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-4.447</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0.645</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0.037</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-3.764</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1.267</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0.410</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-2.087</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Downsizing Reserve</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-18.913</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3.591</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1.431</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-13.891</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3.762</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-10.129</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xml:space="preserve">Risk Management Reserve </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-10.439</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2.036</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3.001</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-5.402</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4.970</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-0.432</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Transitional Reserve</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-162.014</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A953D6"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27.134</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-6.945</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-141.826</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-1.503</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0.578</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-142.751</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xml:space="preserve">Service Reserves </w:t>
            </w:r>
          </w:p>
        </w:tc>
        <w:tc>
          <w:tcPr>
            <w:tcW w:w="1276"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-13.136</w:t>
            </w:r>
          </w:p>
        </w:tc>
        <w:tc>
          <w:tcPr>
            <w:tcW w:w="1488"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-8.398</w:t>
            </w:r>
          </w:p>
        </w:tc>
        <w:tc>
          <w:tcPr>
            <w:tcW w:w="120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2.357</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-19.177</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3.944</w:t>
            </w:r>
          </w:p>
        </w:tc>
        <w:tc>
          <w:tcPr>
            <w:tcW w:w="113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0.483</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-14.751</w:t>
            </w:r>
          </w:p>
        </w:tc>
      </w:tr>
      <w:tr w:rsidR="006D1BD3" w:rsidTr="00026737">
        <w:trPr>
          <w:trHeight w:val="638"/>
        </w:trPr>
        <w:tc>
          <w:tcPr>
            <w:tcW w:w="1560" w:type="dxa"/>
            <w:tcBorders>
              <w:top w:val="nil"/>
              <w:left w:val="single" w:sz="8" w:space="0" w:color="auto"/>
              <w:bottom w:val="nil"/>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Treasury Management Reserve</w:t>
            </w:r>
          </w:p>
        </w:tc>
        <w:tc>
          <w:tcPr>
            <w:tcW w:w="1276"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488"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205"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-10.000</w:t>
            </w:r>
          </w:p>
        </w:tc>
        <w:tc>
          <w:tcPr>
            <w:tcW w:w="1134" w:type="dxa"/>
            <w:tcBorders>
              <w:top w:val="nil"/>
              <w:left w:val="nil"/>
              <w:bottom w:val="nil"/>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-10.000</w:t>
            </w:r>
          </w:p>
        </w:tc>
        <w:tc>
          <w:tcPr>
            <w:tcW w:w="1134"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34"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-10.000</w:t>
            </w:r>
          </w:p>
        </w:tc>
      </w:tr>
      <w:tr w:rsidR="006D1BD3" w:rsidTr="00026737">
        <w:trPr>
          <w:trHeight w:val="638"/>
        </w:trPr>
        <w:tc>
          <w:tcPr>
            <w:tcW w:w="156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left"/>
              <w:rPr>
                <w:rFonts w:eastAsia="Times New Roman" w:cs="Arial"/>
                <w:b/>
                <w:bCs/>
                <w:sz w:val="22"/>
                <w:szCs w:val="22"/>
                <w:lang w:eastAsia="en-GB"/>
              </w:rPr>
            </w:pPr>
            <w:r w:rsidRPr="006C3254">
              <w:rPr>
                <w:rFonts w:eastAsia="Times New Roman" w:cs="Arial"/>
                <w:b/>
                <w:bCs/>
                <w:sz w:val="22"/>
                <w:szCs w:val="22"/>
                <w:lang w:eastAsia="en-GB"/>
              </w:rPr>
              <w:t>SUB TOTAL - LCC RESERVES</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-208.949</w:t>
            </w:r>
          </w:p>
        </w:tc>
        <w:tc>
          <w:tcPr>
            <w:tcW w:w="1488"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25.007</w:t>
            </w:r>
          </w:p>
        </w:tc>
        <w:tc>
          <w:tcPr>
            <w:tcW w:w="1205"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-10.119</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-194.060</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12.440</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1.471</w:t>
            </w:r>
          </w:p>
        </w:tc>
        <w:tc>
          <w:tcPr>
            <w:tcW w:w="1152" w:type="dxa"/>
            <w:tcBorders>
              <w:top w:val="nil"/>
              <w:left w:val="nil"/>
              <w:bottom w:val="single" w:sz="8" w:space="0" w:color="auto"/>
              <w:right w:val="single" w:sz="8"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-180.149</w:t>
            </w:r>
          </w:p>
        </w:tc>
      </w:tr>
      <w:tr w:rsidR="006D1BD3" w:rsidTr="00026737">
        <w:trPr>
          <w:trHeight w:val="638"/>
        </w:trPr>
        <w:tc>
          <w:tcPr>
            <w:tcW w:w="1560"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Schools/Non-LCC Service Reserves</w:t>
            </w:r>
          </w:p>
        </w:tc>
        <w:tc>
          <w:tcPr>
            <w:tcW w:w="1276"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-17.117</w:t>
            </w:r>
          </w:p>
        </w:tc>
        <w:tc>
          <w:tcPr>
            <w:tcW w:w="1488"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0.534</w:t>
            </w:r>
          </w:p>
        </w:tc>
        <w:tc>
          <w:tcPr>
            <w:tcW w:w="1205"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0.119</w:t>
            </w:r>
          </w:p>
        </w:tc>
        <w:tc>
          <w:tcPr>
            <w:tcW w:w="113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-16.464</w:t>
            </w:r>
          </w:p>
        </w:tc>
        <w:tc>
          <w:tcPr>
            <w:tcW w:w="1134"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1.011</w:t>
            </w:r>
          </w:p>
        </w:tc>
        <w:tc>
          <w:tcPr>
            <w:tcW w:w="1134" w:type="dxa"/>
            <w:tcBorders>
              <w:top w:val="nil"/>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-0.687</w:t>
            </w:r>
          </w:p>
        </w:tc>
        <w:tc>
          <w:tcPr>
            <w:tcW w:w="1152" w:type="dxa"/>
            <w:tcBorders>
              <w:top w:val="nil"/>
              <w:left w:val="nil"/>
              <w:bottom w:val="single" w:sz="4"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-16.140</w:t>
            </w:r>
          </w:p>
        </w:tc>
      </w:tr>
      <w:tr w:rsidR="006D1BD3" w:rsidTr="00026737">
        <w:trPr>
          <w:trHeight w:val="420"/>
        </w:trPr>
        <w:tc>
          <w:tcPr>
            <w:tcW w:w="1560" w:type="dxa"/>
            <w:tcBorders>
              <w:top w:val="nil"/>
              <w:left w:val="single" w:sz="8" w:space="0" w:color="auto"/>
              <w:bottom w:val="single" w:sz="8"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left"/>
              <w:rPr>
                <w:rFonts w:eastAsia="Times New Roman" w:cs="Arial"/>
                <w:b/>
                <w:bCs/>
                <w:sz w:val="22"/>
                <w:szCs w:val="22"/>
                <w:lang w:eastAsia="en-GB"/>
              </w:rPr>
            </w:pPr>
            <w:r w:rsidRPr="006C3254">
              <w:rPr>
                <w:rFonts w:eastAsia="Times New Roman" w:cs="Arial"/>
                <w:b/>
                <w:bCs/>
                <w:sz w:val="22"/>
                <w:szCs w:val="22"/>
                <w:lang w:eastAsia="en-GB"/>
              </w:rPr>
              <w:t>SUB TOTAL SCHOOLS/</w:t>
            </w:r>
            <w:r>
              <w:rPr>
                <w:rFonts w:eastAsia="Times New Roman" w:cs="Arial"/>
                <w:b/>
                <w:bCs/>
                <w:sz w:val="22"/>
                <w:szCs w:val="22"/>
                <w:lang w:eastAsia="en-GB"/>
              </w:rPr>
              <w:t xml:space="preserve"> </w:t>
            </w:r>
            <w:r w:rsidRPr="006C3254">
              <w:rPr>
                <w:rFonts w:eastAsia="Times New Roman" w:cs="Arial"/>
                <w:b/>
                <w:bCs/>
                <w:sz w:val="22"/>
                <w:szCs w:val="22"/>
                <w:lang w:eastAsia="en-GB"/>
              </w:rPr>
              <w:t>NON LCC RESERVES</w:t>
            </w:r>
          </w:p>
        </w:tc>
        <w:tc>
          <w:tcPr>
            <w:tcW w:w="1276"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-17.117</w:t>
            </w:r>
          </w:p>
        </w:tc>
        <w:tc>
          <w:tcPr>
            <w:tcW w:w="1488"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0.534</w:t>
            </w:r>
          </w:p>
        </w:tc>
        <w:tc>
          <w:tcPr>
            <w:tcW w:w="1205"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0.119</w:t>
            </w:r>
          </w:p>
        </w:tc>
        <w:tc>
          <w:tcPr>
            <w:tcW w:w="1134" w:type="dxa"/>
            <w:tcBorders>
              <w:top w:val="nil"/>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-16.464</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1.011</w:t>
            </w:r>
          </w:p>
        </w:tc>
        <w:tc>
          <w:tcPr>
            <w:tcW w:w="1134" w:type="dxa"/>
            <w:tcBorders>
              <w:top w:val="single" w:sz="4"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-0.687</w:t>
            </w:r>
          </w:p>
        </w:tc>
        <w:tc>
          <w:tcPr>
            <w:tcW w:w="1152" w:type="dxa"/>
            <w:tcBorders>
              <w:top w:val="nil"/>
              <w:left w:val="nil"/>
              <w:bottom w:val="single" w:sz="8" w:space="0" w:color="auto"/>
              <w:right w:val="single" w:sz="8"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-16.140</w:t>
            </w:r>
          </w:p>
        </w:tc>
      </w:tr>
      <w:tr w:rsidR="006D1BD3" w:rsidTr="00026737">
        <w:trPr>
          <w:trHeight w:val="300"/>
        </w:trPr>
        <w:tc>
          <w:tcPr>
            <w:tcW w:w="1560" w:type="dxa"/>
            <w:tcBorders>
              <w:top w:val="single" w:sz="4" w:space="0" w:color="auto"/>
              <w:left w:val="single" w:sz="8" w:space="0" w:color="auto"/>
              <w:bottom w:val="nil"/>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i/>
                <w:iCs/>
                <w:sz w:val="22"/>
                <w:szCs w:val="22"/>
                <w:lang w:eastAsia="en-GB"/>
              </w:rPr>
            </w:pPr>
            <w:r w:rsidRPr="006C3254">
              <w:rPr>
                <w:rFonts w:eastAsia="Times New Roman" w:cs="Arial"/>
                <w:i/>
                <w:iCs/>
                <w:sz w:val="22"/>
                <w:szCs w:val="22"/>
                <w:lang w:eastAsia="en-GB"/>
              </w:rPr>
              <w:t> </w:t>
            </w:r>
          </w:p>
        </w:tc>
        <w:tc>
          <w:tcPr>
            <w:tcW w:w="1276"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 </w:t>
            </w:r>
          </w:p>
        </w:tc>
        <w:tc>
          <w:tcPr>
            <w:tcW w:w="1488"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 </w:t>
            </w:r>
          </w:p>
        </w:tc>
        <w:tc>
          <w:tcPr>
            <w:tcW w:w="1205"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 </w:t>
            </w:r>
          </w:p>
        </w:tc>
        <w:tc>
          <w:tcPr>
            <w:tcW w:w="1134"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 </w:t>
            </w:r>
          </w:p>
        </w:tc>
        <w:tc>
          <w:tcPr>
            <w:tcW w:w="1134"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 </w:t>
            </w:r>
          </w:p>
        </w:tc>
        <w:tc>
          <w:tcPr>
            <w:tcW w:w="1134" w:type="dxa"/>
            <w:tcBorders>
              <w:top w:val="single" w:sz="4" w:space="0" w:color="auto"/>
              <w:left w:val="nil"/>
              <w:bottom w:val="nil"/>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 </w:t>
            </w:r>
          </w:p>
        </w:tc>
        <w:tc>
          <w:tcPr>
            <w:tcW w:w="1152" w:type="dxa"/>
            <w:tcBorders>
              <w:top w:val="nil"/>
              <w:left w:val="nil"/>
              <w:bottom w:val="nil"/>
              <w:right w:val="single" w:sz="8"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 </w:t>
            </w:r>
          </w:p>
        </w:tc>
      </w:tr>
      <w:tr w:rsidR="006D1BD3" w:rsidTr="00026737">
        <w:trPr>
          <w:trHeight w:val="420"/>
        </w:trPr>
        <w:tc>
          <w:tcPr>
            <w:tcW w:w="156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left"/>
              <w:rPr>
                <w:rFonts w:eastAsia="Times New Roman" w:cs="Arial"/>
                <w:b/>
                <w:bCs/>
                <w:sz w:val="22"/>
                <w:szCs w:val="22"/>
                <w:lang w:eastAsia="en-GB"/>
              </w:rPr>
            </w:pPr>
            <w:r w:rsidRPr="006C3254">
              <w:rPr>
                <w:rFonts w:eastAsia="Times New Roman" w:cs="Arial"/>
                <w:b/>
                <w:bCs/>
                <w:sz w:val="22"/>
                <w:szCs w:val="22"/>
                <w:lang w:eastAsia="en-GB"/>
              </w:rPr>
              <w:t>GRAND TOTAL</w:t>
            </w:r>
          </w:p>
        </w:tc>
        <w:tc>
          <w:tcPr>
            <w:tcW w:w="1276"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-262.066</w:t>
            </w:r>
          </w:p>
        </w:tc>
        <w:tc>
          <w:tcPr>
            <w:tcW w:w="1488"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28.105</w:t>
            </w:r>
          </w:p>
        </w:tc>
        <w:tc>
          <w:tcPr>
            <w:tcW w:w="1205"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0.000</w:t>
            </w: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-233.960</w:t>
            </w: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13.451</w:t>
            </w:r>
          </w:p>
        </w:tc>
        <w:tc>
          <w:tcPr>
            <w:tcW w:w="1134" w:type="dxa"/>
            <w:tcBorders>
              <w:top w:val="single" w:sz="8" w:space="0" w:color="auto"/>
              <w:left w:val="nil"/>
              <w:bottom w:val="single" w:sz="8"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0.784</w:t>
            </w:r>
          </w:p>
        </w:tc>
        <w:tc>
          <w:tcPr>
            <w:tcW w:w="1152" w:type="dxa"/>
            <w:tcBorders>
              <w:top w:val="single" w:sz="8" w:space="0" w:color="auto"/>
              <w:left w:val="nil"/>
              <w:bottom w:val="single" w:sz="8" w:space="0" w:color="auto"/>
              <w:right w:val="single" w:sz="8" w:space="0" w:color="auto"/>
            </w:tcBorders>
            <w:shd w:val="clear" w:color="000000" w:fill="BFBFBF"/>
            <w:noWrap/>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r>
              <w:rPr>
                <w:rFonts w:eastAsia="Times New Roman" w:cs="Arial"/>
                <w:b/>
                <w:bCs/>
                <w:sz w:val="22"/>
                <w:szCs w:val="22"/>
                <w:lang w:eastAsia="en-GB"/>
              </w:rPr>
              <w:t>-219.726</w:t>
            </w:r>
          </w:p>
        </w:tc>
      </w:tr>
    </w:tbl>
    <w:p w:rsidR="00026737" w:rsidRDefault="00A953D6" w:rsidP="00026737">
      <w:pPr>
        <w:spacing w:after="0"/>
        <w:rPr>
          <w:b/>
        </w:rPr>
      </w:pPr>
    </w:p>
    <w:p w:rsidR="00026737" w:rsidRDefault="008A011B" w:rsidP="00026737">
      <w:pPr>
        <w:spacing w:after="0"/>
        <w:ind w:right="-24"/>
        <w:rPr>
          <w:rFonts w:cs="Arial"/>
        </w:rPr>
      </w:pPr>
      <w:r w:rsidRPr="00C60447">
        <w:rPr>
          <w:rFonts w:cs="Arial"/>
        </w:rPr>
        <w:t xml:space="preserve">The County Fund </w:t>
      </w:r>
      <w:r>
        <w:rPr>
          <w:rFonts w:cs="Arial"/>
        </w:rPr>
        <w:t xml:space="preserve">shown at the top of Table 1 </w:t>
      </w:r>
      <w:r w:rsidRPr="00C60447">
        <w:rPr>
          <w:rFonts w:cs="Arial"/>
        </w:rPr>
        <w:t xml:space="preserve">is the balance set aside to cover the authority against a serious emergency situation (e.g. widespread flooding); a critical and unexpected loss of income to the authority and for general cash flow purposes.  </w:t>
      </w:r>
      <w:r w:rsidRPr="00C60447">
        <w:rPr>
          <w:rFonts w:cs="Arial"/>
        </w:rPr>
        <w:lastRenderedPageBreak/>
        <w:t xml:space="preserve">In considering these various factors the County Council </w:t>
      </w:r>
      <w:r>
        <w:rPr>
          <w:rFonts w:cs="Arial"/>
        </w:rPr>
        <w:t xml:space="preserve">has </w:t>
      </w:r>
      <w:r w:rsidRPr="00C60447">
        <w:rPr>
          <w:rFonts w:cs="Arial"/>
        </w:rPr>
        <w:t xml:space="preserve">a County Fund balance </w:t>
      </w:r>
      <w:r>
        <w:rPr>
          <w:rFonts w:cs="Arial"/>
        </w:rPr>
        <w:t xml:space="preserve">of £23.437m at the end of 2017/18. </w:t>
      </w:r>
      <w:r w:rsidRPr="00C60447">
        <w:rPr>
          <w:rFonts w:cs="Arial"/>
        </w:rPr>
        <w:t xml:space="preserve"> </w:t>
      </w:r>
    </w:p>
    <w:p w:rsidR="00026737" w:rsidRDefault="00A953D6" w:rsidP="00026737">
      <w:pPr>
        <w:spacing w:after="0"/>
        <w:ind w:right="-24"/>
        <w:rPr>
          <w:rFonts w:cs="Arial"/>
        </w:rPr>
      </w:pPr>
    </w:p>
    <w:p w:rsidR="00026737" w:rsidRPr="00C60447" w:rsidRDefault="008A011B" w:rsidP="00026737">
      <w:pPr>
        <w:spacing w:after="0"/>
        <w:ind w:right="-24"/>
        <w:rPr>
          <w:rFonts w:cs="Arial"/>
        </w:rPr>
      </w:pPr>
      <w:r w:rsidRPr="00C60447">
        <w:rPr>
          <w:rFonts w:cs="Arial"/>
        </w:rPr>
        <w:t>Part of this reserve has been used to support the budget amendment agreed by Full Council in July 2017 totalling £3.995m in 2017/18</w:t>
      </w:r>
      <w:r>
        <w:rPr>
          <w:rFonts w:cs="Arial"/>
        </w:rPr>
        <w:t xml:space="preserve">, which has required a reduced balance of £2.563m due to some delays in implementation and reduced costs. </w:t>
      </w:r>
      <w:r w:rsidRPr="00C60447">
        <w:rPr>
          <w:rFonts w:cs="Arial"/>
        </w:rPr>
        <w:t xml:space="preserve"> </w:t>
      </w:r>
      <w:r>
        <w:rPr>
          <w:rFonts w:cs="Arial"/>
        </w:rPr>
        <w:t xml:space="preserve">In addition £10.000m has been set aside within a reserve to mitigate possible risks within the Treasury Management investment portfolio. </w:t>
      </w:r>
      <w:r w:rsidRPr="00C60447">
        <w:rPr>
          <w:rFonts w:cs="Arial"/>
        </w:rPr>
        <w:t xml:space="preserve"> </w:t>
      </w:r>
    </w:p>
    <w:p w:rsidR="00026737" w:rsidRPr="00C60447" w:rsidRDefault="00A953D6" w:rsidP="00026737">
      <w:pPr>
        <w:spacing w:after="0"/>
        <w:ind w:right="-24"/>
        <w:rPr>
          <w:rFonts w:cs="Arial"/>
        </w:rPr>
      </w:pPr>
    </w:p>
    <w:p w:rsidR="00026737" w:rsidRDefault="008A011B" w:rsidP="00026737">
      <w:pPr>
        <w:spacing w:after="0"/>
        <w:ind w:right="-24"/>
        <w:rPr>
          <w:rFonts w:cs="Arial"/>
        </w:rPr>
      </w:pPr>
      <w:r w:rsidRPr="00C60447">
        <w:rPr>
          <w:rFonts w:cs="Arial"/>
        </w:rPr>
        <w:t xml:space="preserve">This reduction to the County Fund balance </w:t>
      </w:r>
      <w:r>
        <w:rPr>
          <w:rFonts w:cs="Arial"/>
        </w:rPr>
        <w:t xml:space="preserve">during 2017/18 </w:t>
      </w:r>
      <w:r w:rsidRPr="00C60447">
        <w:rPr>
          <w:rFonts w:cs="Arial"/>
        </w:rPr>
        <w:t>was on the basis that this is still a prudent and reasonable amount to keep in the County Fund for emergency situations as described above with benchmarking of other Local Authorities completed to support the reduction.</w:t>
      </w:r>
    </w:p>
    <w:p w:rsidR="00026737" w:rsidRPr="00C60447" w:rsidRDefault="00A953D6" w:rsidP="00026737">
      <w:pPr>
        <w:spacing w:after="0"/>
        <w:ind w:right="-24"/>
        <w:rPr>
          <w:rFonts w:cs="Arial"/>
        </w:rPr>
      </w:pPr>
    </w:p>
    <w:p w:rsidR="00026737" w:rsidRDefault="008A011B" w:rsidP="00026737">
      <w:pPr>
        <w:tabs>
          <w:tab w:val="left" w:pos="567"/>
          <w:tab w:val="left" w:pos="1134"/>
        </w:tabs>
        <w:spacing w:after="0"/>
        <w:rPr>
          <w:rFonts w:cs="Arial"/>
        </w:rPr>
      </w:pPr>
      <w:r w:rsidRPr="00E84F9F">
        <w:rPr>
          <w:rFonts w:cs="Arial"/>
        </w:rPr>
        <w:t xml:space="preserve">The </w:t>
      </w:r>
      <w:r>
        <w:rPr>
          <w:rFonts w:cs="Arial"/>
        </w:rPr>
        <w:t>table above</w:t>
      </w:r>
      <w:r w:rsidRPr="00E84F9F">
        <w:rPr>
          <w:rFonts w:cs="Arial"/>
        </w:rPr>
        <w:t xml:space="preserve"> shows that the forecast value of the uncommitted Trans</w:t>
      </w:r>
      <w:r>
        <w:rPr>
          <w:rFonts w:cs="Arial"/>
        </w:rPr>
        <w:t>itional Reserve following</w:t>
      </w:r>
      <w:r w:rsidR="00A953D6">
        <w:rPr>
          <w:rFonts w:cs="Arial"/>
        </w:rPr>
        <w:t xml:space="preserve"> the 2017/18 outturn is £142.751</w:t>
      </w:r>
      <w:r>
        <w:rPr>
          <w:rFonts w:cs="Arial"/>
        </w:rPr>
        <w:t xml:space="preserve">m. This is an improved position compared to that reported to Cabinet at Quarter 3, due to the higher underspend within the revenue budget and also the inclusion of funds received as part of a settlement in relation to the Waste PFI. </w:t>
      </w:r>
    </w:p>
    <w:p w:rsidR="00026737" w:rsidRDefault="00A953D6" w:rsidP="00026737">
      <w:pPr>
        <w:tabs>
          <w:tab w:val="left" w:pos="567"/>
          <w:tab w:val="left" w:pos="1134"/>
        </w:tabs>
        <w:spacing w:after="0"/>
        <w:rPr>
          <w:rFonts w:cs="Arial"/>
        </w:rPr>
      </w:pPr>
    </w:p>
    <w:p w:rsidR="00026737" w:rsidRDefault="008A011B" w:rsidP="00026737">
      <w:pPr>
        <w:tabs>
          <w:tab w:val="left" w:pos="567"/>
          <w:tab w:val="left" w:pos="1134"/>
        </w:tabs>
        <w:spacing w:after="0"/>
        <w:rPr>
          <w:rFonts w:cs="Arial"/>
          <w:highlight w:val="green"/>
        </w:rPr>
      </w:pPr>
      <w:r>
        <w:rPr>
          <w:rFonts w:cs="Arial"/>
        </w:rPr>
        <w:t>W</w:t>
      </w:r>
      <w:r w:rsidRPr="00E84F9F">
        <w:rPr>
          <w:rFonts w:cs="Arial"/>
        </w:rPr>
        <w:t>hilst it is anticipated that further revenue savings for 2018/19 and beyond will be identified, the impact of utilising the Transitional Reserve to fund th</w:t>
      </w:r>
      <w:r>
        <w:rPr>
          <w:rFonts w:cs="Arial"/>
        </w:rPr>
        <w:t>e £42.045m gap would leave £68.410</w:t>
      </w:r>
      <w:r w:rsidRPr="00E84F9F">
        <w:rPr>
          <w:rFonts w:cs="Arial"/>
        </w:rPr>
        <w:t>m available for use in 2019/20 based on current forecasts. Table 2 within the report demonstrates the funds that are forecast to be available to suppor</w:t>
      </w:r>
      <w:r>
        <w:rPr>
          <w:rFonts w:cs="Arial"/>
        </w:rPr>
        <w:t>t the budget gap in 2018/19 and</w:t>
      </w:r>
      <w:r w:rsidRPr="00E84F9F">
        <w:rPr>
          <w:rFonts w:cs="Arial"/>
        </w:rPr>
        <w:t xml:space="preserve"> 2019/20. However, in order to set a legal budget further savings will need to be made.</w:t>
      </w:r>
    </w:p>
    <w:p w:rsidR="00026737" w:rsidRPr="00271ABB" w:rsidRDefault="00A953D6" w:rsidP="00026737">
      <w:pPr>
        <w:spacing w:after="0"/>
        <w:ind w:right="-24"/>
        <w:rPr>
          <w:rFonts w:cs="Arial"/>
          <w:b/>
        </w:rPr>
      </w:pPr>
    </w:p>
    <w:tbl>
      <w:tblPr>
        <w:tblW w:w="8217" w:type="dxa"/>
        <w:tblLook w:val="04A0" w:firstRow="1" w:lastRow="0" w:firstColumn="1" w:lastColumn="0" w:noHBand="0" w:noVBand="1"/>
      </w:tblPr>
      <w:tblGrid>
        <w:gridCol w:w="2393"/>
        <w:gridCol w:w="1576"/>
        <w:gridCol w:w="1369"/>
        <w:gridCol w:w="1466"/>
        <w:gridCol w:w="1413"/>
      </w:tblGrid>
      <w:tr w:rsidR="006D1BD3" w:rsidTr="00026737">
        <w:trPr>
          <w:gridAfter w:val="1"/>
          <w:wAfter w:w="1413" w:type="dxa"/>
          <w:trHeight w:val="340"/>
        </w:trPr>
        <w:tc>
          <w:tcPr>
            <w:tcW w:w="2393" w:type="dxa"/>
            <w:tcBorders>
              <w:top w:val="nil"/>
              <w:left w:val="nil"/>
              <w:bottom w:val="nil"/>
              <w:right w:val="nil"/>
            </w:tcBorders>
            <w:shd w:val="clear" w:color="auto" w:fill="auto"/>
            <w:vAlign w:val="bottom"/>
            <w:hideMark/>
          </w:tcPr>
          <w:p w:rsidR="00026737" w:rsidRPr="006C3254" w:rsidRDefault="00A953D6" w:rsidP="00026737">
            <w:pPr>
              <w:autoSpaceDE/>
              <w:autoSpaceDN/>
              <w:adjustRightInd/>
              <w:spacing w:after="0"/>
              <w:jc w:val="left"/>
              <w:rPr>
                <w:rFonts w:ascii="Times New Roman" w:eastAsia="Times New Roman" w:hAnsi="Times New Roman" w:cs="Times New Roman"/>
                <w:color w:val="auto"/>
                <w:sz w:val="22"/>
                <w:szCs w:val="22"/>
                <w:lang w:eastAsia="en-GB"/>
              </w:rPr>
            </w:pPr>
          </w:p>
        </w:tc>
        <w:tc>
          <w:tcPr>
            <w:tcW w:w="1576"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2018-19 </w:t>
            </w:r>
          </w:p>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369" w:type="dxa"/>
            <w:tcBorders>
              <w:top w:val="single" w:sz="8" w:space="0" w:color="auto"/>
              <w:left w:val="nil"/>
              <w:bottom w:val="single" w:sz="8" w:space="0" w:color="auto"/>
              <w:right w:val="single" w:sz="4" w:space="0" w:color="auto"/>
            </w:tcBorders>
            <w:shd w:val="clear" w:color="000000" w:fill="BFBFBF"/>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2019-20</w:t>
            </w:r>
          </w:p>
        </w:tc>
        <w:tc>
          <w:tcPr>
            <w:tcW w:w="1466"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2020-21</w:t>
            </w:r>
          </w:p>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r>
      <w:tr w:rsidR="006D1BD3" w:rsidTr="00026737">
        <w:trPr>
          <w:trHeight w:val="340"/>
        </w:trPr>
        <w:tc>
          <w:tcPr>
            <w:tcW w:w="2393" w:type="dxa"/>
            <w:tcBorders>
              <w:top w:val="single" w:sz="8" w:space="0" w:color="auto"/>
              <w:left w:val="single" w:sz="8" w:space="0" w:color="auto"/>
              <w:bottom w:val="nil"/>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i/>
                <w:iCs/>
                <w:sz w:val="22"/>
                <w:szCs w:val="22"/>
                <w:lang w:eastAsia="en-GB"/>
              </w:rPr>
            </w:pPr>
            <w:r w:rsidRPr="006C3254">
              <w:rPr>
                <w:rFonts w:eastAsia="Times New Roman" w:cs="Arial"/>
                <w:i/>
                <w:iCs/>
                <w:sz w:val="22"/>
                <w:szCs w:val="22"/>
                <w:lang w:eastAsia="en-GB"/>
              </w:rPr>
              <w:t>MTFS Funding Gap</w:t>
            </w:r>
          </w:p>
        </w:tc>
        <w:tc>
          <w:tcPr>
            <w:tcW w:w="1576" w:type="dxa"/>
            <w:tcBorders>
              <w:top w:val="nil"/>
              <w:left w:val="nil"/>
              <w:bottom w:val="nil"/>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42.045</w:t>
            </w:r>
          </w:p>
        </w:tc>
        <w:tc>
          <w:tcPr>
            <w:tcW w:w="1369" w:type="dxa"/>
            <w:tcBorders>
              <w:top w:val="nil"/>
              <w:left w:val="nil"/>
              <w:bottom w:val="nil"/>
              <w:right w:val="single" w:sz="4" w:space="0" w:color="auto"/>
            </w:tcBorders>
            <w:vAlign w:val="center"/>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68.410</w:t>
            </w:r>
          </w:p>
        </w:tc>
        <w:tc>
          <w:tcPr>
            <w:tcW w:w="1466" w:type="dxa"/>
            <w:tcBorders>
              <w:top w:val="nil"/>
              <w:left w:val="single" w:sz="4" w:space="0" w:color="auto"/>
              <w:bottom w:val="nil"/>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i/>
                <w:iCs/>
                <w:sz w:val="22"/>
                <w:szCs w:val="22"/>
                <w:lang w:eastAsia="en-GB"/>
              </w:rPr>
            </w:pPr>
            <w:r w:rsidRPr="006C3254">
              <w:rPr>
                <w:rFonts w:eastAsia="Times New Roman" w:cs="Arial"/>
                <w:i/>
                <w:iCs/>
                <w:sz w:val="22"/>
                <w:szCs w:val="22"/>
                <w:lang w:eastAsia="en-GB"/>
              </w:rPr>
              <w:t>118.138</w:t>
            </w:r>
          </w:p>
        </w:tc>
        <w:tc>
          <w:tcPr>
            <w:tcW w:w="1413" w:type="dxa"/>
            <w:tcBorders>
              <w:top w:val="single" w:sz="8" w:space="0" w:color="auto"/>
              <w:left w:val="nil"/>
              <w:bottom w:val="nil"/>
              <w:right w:val="single" w:sz="8" w:space="0" w:color="auto"/>
            </w:tcBorders>
            <w:shd w:val="clear" w:color="auto" w:fill="auto"/>
            <w:noWrap/>
            <w:vAlign w:val="center"/>
          </w:tcPr>
          <w:p w:rsidR="00026737" w:rsidRPr="006C3254" w:rsidRDefault="00A953D6" w:rsidP="00026737">
            <w:pPr>
              <w:autoSpaceDE/>
              <w:autoSpaceDN/>
              <w:adjustRightInd/>
              <w:spacing w:after="0"/>
              <w:jc w:val="center"/>
              <w:rPr>
                <w:rFonts w:eastAsia="Times New Roman" w:cs="Arial"/>
                <w:i/>
                <w:iCs/>
                <w:sz w:val="22"/>
                <w:szCs w:val="22"/>
                <w:lang w:eastAsia="en-GB"/>
              </w:rPr>
            </w:pPr>
          </w:p>
        </w:tc>
      </w:tr>
      <w:tr w:rsidR="006D1BD3" w:rsidTr="00026737">
        <w:trPr>
          <w:trHeight w:val="340"/>
        </w:trPr>
        <w:tc>
          <w:tcPr>
            <w:tcW w:w="239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Available reserves to support financial gap</w:t>
            </w:r>
          </w:p>
        </w:tc>
        <w:tc>
          <w:tcPr>
            <w:tcW w:w="1576" w:type="dxa"/>
            <w:tcBorders>
              <w:top w:val="single" w:sz="4" w:space="0" w:color="auto"/>
              <w:left w:val="nil"/>
              <w:bottom w:val="single" w:sz="8"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42.045</w:t>
            </w:r>
          </w:p>
        </w:tc>
        <w:tc>
          <w:tcPr>
            <w:tcW w:w="1369" w:type="dxa"/>
            <w:tcBorders>
              <w:top w:val="single" w:sz="4" w:space="0" w:color="auto"/>
              <w:left w:val="nil"/>
              <w:bottom w:val="single" w:sz="8" w:space="0" w:color="auto"/>
              <w:right w:val="single" w:sz="4" w:space="0" w:color="auto"/>
            </w:tcBorders>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68.410</w:t>
            </w:r>
          </w:p>
        </w:tc>
        <w:tc>
          <w:tcPr>
            <w:tcW w:w="146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26737" w:rsidRPr="006C3254" w:rsidRDefault="00A953D6"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32.296</w:t>
            </w:r>
          </w:p>
        </w:tc>
        <w:tc>
          <w:tcPr>
            <w:tcW w:w="1413" w:type="dxa"/>
            <w:tcBorders>
              <w:top w:val="single" w:sz="4" w:space="0" w:color="auto"/>
              <w:left w:val="nil"/>
              <w:bottom w:val="single" w:sz="8" w:space="0" w:color="auto"/>
              <w:right w:val="single" w:sz="8" w:space="0" w:color="auto"/>
            </w:tcBorders>
            <w:shd w:val="clear" w:color="000000" w:fill="BFBFBF"/>
            <w:noWrap/>
            <w:vAlign w:val="center"/>
          </w:tcPr>
          <w:p w:rsidR="00026737" w:rsidRPr="006C3254" w:rsidRDefault="00A953D6"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142.751</w:t>
            </w:r>
          </w:p>
        </w:tc>
      </w:tr>
    </w:tbl>
    <w:p w:rsidR="00026737" w:rsidRDefault="00A953D6" w:rsidP="00026737">
      <w:pPr>
        <w:spacing w:after="0"/>
        <w:rPr>
          <w:rFonts w:cs="Arial"/>
          <w:b/>
        </w:rPr>
      </w:pPr>
    </w:p>
    <w:p w:rsidR="00026737" w:rsidRDefault="008A011B">
      <w:pPr>
        <w:autoSpaceDE/>
        <w:autoSpaceDN/>
        <w:adjustRightInd/>
        <w:spacing w:after="0"/>
        <w:jc w:val="left"/>
        <w:rPr>
          <w:b/>
        </w:rPr>
      </w:pPr>
      <w:r>
        <w:rPr>
          <w:b/>
        </w:rPr>
        <w:br w:type="page"/>
      </w:r>
      <w:bookmarkStart w:id="2" w:name="_GoBack"/>
      <w:bookmarkEnd w:id="2"/>
    </w:p>
    <w:p w:rsidR="00026737" w:rsidRDefault="008A011B" w:rsidP="00026737">
      <w:pPr>
        <w:tabs>
          <w:tab w:val="left" w:pos="851"/>
        </w:tabs>
        <w:spacing w:after="0"/>
        <w:rPr>
          <w:b/>
        </w:rPr>
      </w:pPr>
      <w:r>
        <w:rPr>
          <w:b/>
        </w:rPr>
        <w:lastRenderedPageBreak/>
        <w:t>6.</w:t>
      </w:r>
      <w:r>
        <w:rPr>
          <w:b/>
        </w:rPr>
        <w:tab/>
        <w:t>Provision for Bad and Doubtful Debts</w:t>
      </w:r>
    </w:p>
    <w:p w:rsidR="00026737" w:rsidRDefault="00A953D6" w:rsidP="00026737">
      <w:pPr>
        <w:spacing w:after="0"/>
        <w:rPr>
          <w:b/>
        </w:rPr>
      </w:pPr>
    </w:p>
    <w:p w:rsidR="00026737" w:rsidRDefault="008A011B" w:rsidP="00026737">
      <w:pPr>
        <w:spacing w:after="0"/>
      </w:pPr>
      <w:r>
        <w:t xml:space="preserve">In addition to general provisions against known liabilities the Council maintains a provision against bad and doubtful debts. </w:t>
      </w:r>
    </w:p>
    <w:p w:rsidR="00026737" w:rsidRDefault="00A953D6" w:rsidP="00026737">
      <w:pPr>
        <w:spacing w:after="0"/>
      </w:pPr>
    </w:p>
    <w:tbl>
      <w:tblPr>
        <w:tblW w:w="8931" w:type="dxa"/>
        <w:tblInd w:w="-10" w:type="dxa"/>
        <w:tblLook w:val="04A0" w:firstRow="1" w:lastRow="0" w:firstColumn="1" w:lastColumn="0" w:noHBand="0" w:noVBand="1"/>
      </w:tblPr>
      <w:tblGrid>
        <w:gridCol w:w="2835"/>
        <w:gridCol w:w="1985"/>
        <w:gridCol w:w="1984"/>
        <w:gridCol w:w="2127"/>
      </w:tblGrid>
      <w:tr w:rsidR="006D1BD3" w:rsidTr="00026737">
        <w:trPr>
          <w:trHeight w:val="340"/>
        </w:trPr>
        <w:tc>
          <w:tcPr>
            <w:tcW w:w="2835" w:type="dxa"/>
            <w:tcBorders>
              <w:top w:val="single" w:sz="8" w:space="0" w:color="auto"/>
              <w:left w:val="single" w:sz="8" w:space="0" w:color="auto"/>
              <w:right w:val="single" w:sz="4" w:space="0" w:color="auto"/>
            </w:tcBorders>
            <w:shd w:val="clear" w:color="000000" w:fill="BFBFBF"/>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p>
        </w:tc>
        <w:tc>
          <w:tcPr>
            <w:tcW w:w="1985"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Opening Balance as at </w:t>
            </w:r>
            <w:r>
              <w:rPr>
                <w:rFonts w:eastAsia="Times New Roman" w:cs="Arial"/>
                <w:b/>
                <w:bCs/>
                <w:sz w:val="22"/>
                <w:szCs w:val="22"/>
                <w:lang w:eastAsia="en-GB"/>
              </w:rPr>
              <w:br/>
            </w:r>
            <w:r w:rsidRPr="006C3254">
              <w:rPr>
                <w:rFonts w:eastAsia="Times New Roman" w:cs="Arial"/>
                <w:b/>
                <w:bCs/>
                <w:sz w:val="22"/>
                <w:szCs w:val="22"/>
                <w:lang w:eastAsia="en-GB"/>
              </w:rPr>
              <w:t>1 April 2017</w:t>
            </w:r>
          </w:p>
        </w:tc>
        <w:tc>
          <w:tcPr>
            <w:tcW w:w="1984"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In Year Changes</w:t>
            </w:r>
          </w:p>
        </w:tc>
        <w:tc>
          <w:tcPr>
            <w:tcW w:w="2127"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 xml:space="preserve">Closing Balance as at </w:t>
            </w:r>
            <w:r>
              <w:rPr>
                <w:rFonts w:eastAsia="Times New Roman" w:cs="Arial"/>
                <w:b/>
                <w:bCs/>
                <w:sz w:val="22"/>
                <w:szCs w:val="22"/>
                <w:lang w:eastAsia="en-GB"/>
              </w:rPr>
              <w:br/>
            </w:r>
            <w:r w:rsidRPr="006C3254">
              <w:rPr>
                <w:rFonts w:eastAsia="Times New Roman" w:cs="Arial"/>
                <w:b/>
                <w:bCs/>
                <w:sz w:val="22"/>
                <w:szCs w:val="22"/>
                <w:lang w:eastAsia="en-GB"/>
              </w:rPr>
              <w:t>31st March 2018</w:t>
            </w:r>
          </w:p>
        </w:tc>
      </w:tr>
      <w:tr w:rsidR="006D1BD3" w:rsidTr="00026737">
        <w:trPr>
          <w:trHeight w:val="340"/>
        </w:trPr>
        <w:tc>
          <w:tcPr>
            <w:tcW w:w="2835" w:type="dxa"/>
            <w:tcBorders>
              <w:top w:val="nil"/>
              <w:left w:val="single" w:sz="8" w:space="0" w:color="auto"/>
              <w:bottom w:val="single" w:sz="4" w:space="0" w:color="auto"/>
              <w:right w:val="single" w:sz="4" w:space="0" w:color="auto"/>
            </w:tcBorders>
            <w:shd w:val="clear" w:color="000000" w:fill="BFBFBF"/>
            <w:vAlign w:val="bottom"/>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w:t>
            </w:r>
          </w:p>
        </w:tc>
        <w:tc>
          <w:tcPr>
            <w:tcW w:w="1985"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984"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2127"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r>
      <w:tr w:rsidR="006D1BD3" w:rsidTr="00026737">
        <w:trPr>
          <w:trHeight w:val="340"/>
        </w:trPr>
        <w:tc>
          <w:tcPr>
            <w:tcW w:w="2835"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Corporate Bad Debt Provision</w:t>
            </w:r>
          </w:p>
        </w:tc>
        <w:tc>
          <w:tcPr>
            <w:tcW w:w="1985"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-13.916</w:t>
            </w:r>
          </w:p>
        </w:tc>
        <w:tc>
          <w:tcPr>
            <w:tcW w:w="1984"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-2.190</w:t>
            </w:r>
          </w:p>
        </w:tc>
        <w:tc>
          <w:tcPr>
            <w:tcW w:w="2127"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-16.107</w:t>
            </w:r>
          </w:p>
        </w:tc>
      </w:tr>
    </w:tbl>
    <w:p w:rsidR="00026737" w:rsidRDefault="00A953D6" w:rsidP="00026737">
      <w:pPr>
        <w:spacing w:after="0"/>
      </w:pPr>
    </w:p>
    <w:p w:rsidR="00026737" w:rsidRDefault="008A011B" w:rsidP="00026737">
      <w:pPr>
        <w:autoSpaceDE/>
        <w:autoSpaceDN/>
        <w:adjustRightInd/>
        <w:spacing w:after="0"/>
        <w:rPr>
          <w:b/>
        </w:rPr>
      </w:pPr>
      <w:r>
        <w:t xml:space="preserve">The provision for bad debt has increased during 2017/18 due to increased debts over 2 years old. These debts are currently under review with plans being developed to reduce debt levels and more particularly those over 2 years old as these present the greatest risk. In addition a review of the provision has already commenced to incorporate a new accounting requirement (IFRS 9) which must be adhered to from 2018/19. </w:t>
      </w:r>
      <w:r>
        <w:rPr>
          <w:b/>
        </w:rPr>
        <w:br w:type="page"/>
      </w:r>
    </w:p>
    <w:p w:rsidR="00026737" w:rsidRDefault="008A011B" w:rsidP="00026737">
      <w:pPr>
        <w:tabs>
          <w:tab w:val="left" w:pos="851"/>
        </w:tabs>
        <w:spacing w:after="0"/>
        <w:rPr>
          <w:b/>
        </w:rPr>
      </w:pPr>
      <w:r>
        <w:rPr>
          <w:b/>
        </w:rPr>
        <w:lastRenderedPageBreak/>
        <w:t>7.</w:t>
      </w:r>
      <w:r>
        <w:rPr>
          <w:b/>
        </w:rPr>
        <w:tab/>
        <w:t>General Provisions</w:t>
      </w:r>
    </w:p>
    <w:p w:rsidR="00026737" w:rsidRDefault="00A953D6" w:rsidP="00026737">
      <w:pPr>
        <w:spacing w:after="0"/>
        <w:rPr>
          <w:b/>
        </w:rPr>
      </w:pPr>
    </w:p>
    <w:p w:rsidR="00026737" w:rsidRDefault="008A011B" w:rsidP="00026737">
      <w:pPr>
        <w:spacing w:after="0"/>
      </w:pPr>
      <w:r>
        <w:t>General Provisions which are set aside for specifically quantified liabilities such as insurance claims. Movements in general provisions are summarised in the table below:</w:t>
      </w:r>
    </w:p>
    <w:p w:rsidR="00026737" w:rsidRDefault="00A953D6" w:rsidP="00026737">
      <w:pPr>
        <w:spacing w:after="0"/>
      </w:pPr>
    </w:p>
    <w:tbl>
      <w:tblPr>
        <w:tblW w:w="9214" w:type="dxa"/>
        <w:tblInd w:w="-10" w:type="dxa"/>
        <w:tblLook w:val="04A0" w:firstRow="1" w:lastRow="0" w:firstColumn="1" w:lastColumn="0" w:noHBand="0" w:noVBand="1"/>
      </w:tblPr>
      <w:tblGrid>
        <w:gridCol w:w="3828"/>
        <w:gridCol w:w="1842"/>
        <w:gridCol w:w="1701"/>
        <w:gridCol w:w="1843"/>
      </w:tblGrid>
      <w:tr w:rsidR="006D1BD3" w:rsidTr="00026737">
        <w:trPr>
          <w:trHeight w:val="1125"/>
        </w:trPr>
        <w:tc>
          <w:tcPr>
            <w:tcW w:w="3828" w:type="dxa"/>
            <w:tcBorders>
              <w:top w:val="single" w:sz="8" w:space="0" w:color="auto"/>
              <w:left w:val="single" w:sz="8" w:space="0" w:color="auto"/>
              <w:right w:val="single" w:sz="4" w:space="0" w:color="auto"/>
            </w:tcBorders>
            <w:shd w:val="clear" w:color="000000" w:fill="BFBFBF"/>
            <w:vAlign w:val="center"/>
            <w:hideMark/>
          </w:tcPr>
          <w:p w:rsidR="00026737" w:rsidRPr="006C3254" w:rsidRDefault="00A953D6" w:rsidP="00026737">
            <w:pPr>
              <w:autoSpaceDE/>
              <w:autoSpaceDN/>
              <w:adjustRightInd/>
              <w:spacing w:after="0"/>
              <w:jc w:val="center"/>
              <w:rPr>
                <w:rFonts w:eastAsia="Times New Roman" w:cs="Arial"/>
                <w:b/>
                <w:bCs/>
                <w:sz w:val="22"/>
                <w:szCs w:val="22"/>
                <w:lang w:eastAsia="en-GB"/>
              </w:rPr>
            </w:pPr>
          </w:p>
        </w:tc>
        <w:tc>
          <w:tcPr>
            <w:tcW w:w="1842"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Opening Balance as at 1 April 2017</w:t>
            </w:r>
          </w:p>
        </w:tc>
        <w:tc>
          <w:tcPr>
            <w:tcW w:w="1701"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In Year Changes</w:t>
            </w:r>
          </w:p>
        </w:tc>
        <w:tc>
          <w:tcPr>
            <w:tcW w:w="1843" w:type="dxa"/>
            <w:tcBorders>
              <w:top w:val="single" w:sz="8" w:space="0" w:color="auto"/>
              <w:left w:val="nil"/>
              <w:right w:val="single" w:sz="4" w:space="0" w:color="auto"/>
            </w:tcBorders>
            <w:shd w:val="clear" w:color="000000" w:fill="BFBFBF"/>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Closing Balance as at 31st March 2018</w:t>
            </w:r>
          </w:p>
        </w:tc>
      </w:tr>
      <w:tr w:rsidR="006D1BD3" w:rsidTr="00026737">
        <w:trPr>
          <w:trHeight w:val="255"/>
        </w:trPr>
        <w:tc>
          <w:tcPr>
            <w:tcW w:w="3828" w:type="dxa"/>
            <w:tcBorders>
              <w:top w:val="nil"/>
              <w:left w:val="single" w:sz="8" w:space="0" w:color="auto"/>
              <w:bottom w:val="single" w:sz="4" w:space="0" w:color="auto"/>
              <w:right w:val="single" w:sz="4" w:space="0" w:color="auto"/>
            </w:tcBorders>
            <w:shd w:val="clear" w:color="000000" w:fill="BFBFBF"/>
            <w:vAlign w:val="bottom"/>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 </w:t>
            </w:r>
          </w:p>
        </w:tc>
        <w:tc>
          <w:tcPr>
            <w:tcW w:w="1842" w:type="dxa"/>
            <w:tcBorders>
              <w:top w:val="nil"/>
              <w:left w:val="nil"/>
              <w:bottom w:val="single" w:sz="4" w:space="0" w:color="auto"/>
              <w:right w:val="single" w:sz="4" w:space="0" w:color="auto"/>
            </w:tcBorders>
            <w:shd w:val="clear" w:color="000000" w:fill="BFBFBF"/>
            <w:noWrap/>
            <w:vAlign w:val="bottom"/>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701"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c>
          <w:tcPr>
            <w:tcW w:w="1843" w:type="dxa"/>
            <w:tcBorders>
              <w:top w:val="nil"/>
              <w:left w:val="nil"/>
              <w:bottom w:val="single" w:sz="4" w:space="0" w:color="auto"/>
              <w:right w:val="single" w:sz="4" w:space="0" w:color="auto"/>
            </w:tcBorders>
            <w:shd w:val="clear" w:color="000000" w:fill="BFBFBF"/>
            <w:noWrap/>
            <w:vAlign w:val="center"/>
            <w:hideMark/>
          </w:tcPr>
          <w:p w:rsidR="00026737" w:rsidRPr="006C3254" w:rsidRDefault="008A011B" w:rsidP="00026737">
            <w:pPr>
              <w:autoSpaceDE/>
              <w:autoSpaceDN/>
              <w:adjustRightInd/>
              <w:spacing w:after="0"/>
              <w:jc w:val="center"/>
              <w:rPr>
                <w:rFonts w:eastAsia="Times New Roman" w:cs="Arial"/>
                <w:b/>
                <w:bCs/>
                <w:sz w:val="22"/>
                <w:szCs w:val="22"/>
                <w:lang w:eastAsia="en-GB"/>
              </w:rPr>
            </w:pPr>
            <w:r w:rsidRPr="006C3254">
              <w:rPr>
                <w:rFonts w:eastAsia="Times New Roman" w:cs="Arial"/>
                <w:b/>
                <w:bCs/>
                <w:sz w:val="22"/>
                <w:szCs w:val="22"/>
                <w:lang w:eastAsia="en-GB"/>
              </w:rPr>
              <w:t>£m</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hideMark/>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Adult Services - Safeguarding</w:t>
            </w:r>
          </w:p>
        </w:tc>
        <w:tc>
          <w:tcPr>
            <w:tcW w:w="1842"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-0.500</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Adult Services – Learning Disability</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-0.564</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-0.564</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Children's Services – Special Educational Needs</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-0.101</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-0.603</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-0.704</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Financial Resources</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-1.359</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0.412</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-0.947</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Parking Reserve Fund</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-0.867</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0.867</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Teachers Pensions</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-0.245</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0.000</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-0.245</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Business Rates Appeals</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-4.241</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-0.203</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-4.444</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Municipal Mutual Insurance (MMI) Provision</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-2.549</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-0.201</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-2.749</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sidRPr="006C3254">
              <w:rPr>
                <w:rFonts w:eastAsia="Times New Roman" w:cs="Arial"/>
                <w:sz w:val="22"/>
                <w:szCs w:val="22"/>
                <w:lang w:eastAsia="en-GB"/>
              </w:rPr>
              <w:t>Insurance Provision</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-18.770</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-3.488</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sidRPr="006C3254">
              <w:rPr>
                <w:rFonts w:eastAsia="Times New Roman" w:cs="Arial"/>
                <w:sz w:val="22"/>
                <w:szCs w:val="22"/>
                <w:lang w:eastAsia="en-GB"/>
              </w:rPr>
              <w:t>-22.257</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sz w:val="22"/>
                <w:szCs w:val="22"/>
                <w:lang w:eastAsia="en-GB"/>
              </w:rPr>
            </w:pPr>
            <w:r>
              <w:rPr>
                <w:rFonts w:eastAsia="Times New Roman" w:cs="Arial"/>
                <w:sz w:val="22"/>
                <w:szCs w:val="22"/>
                <w:lang w:eastAsia="en-GB"/>
              </w:rPr>
              <w:t>PFI Payments</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0.000</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-0.815</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sz w:val="22"/>
                <w:szCs w:val="22"/>
                <w:lang w:eastAsia="en-GB"/>
              </w:rPr>
            </w:pPr>
            <w:r>
              <w:rPr>
                <w:rFonts w:eastAsia="Times New Roman" w:cs="Arial"/>
                <w:sz w:val="22"/>
                <w:szCs w:val="22"/>
                <w:lang w:eastAsia="en-GB"/>
              </w:rPr>
              <w:t>-0.815</w:t>
            </w:r>
          </w:p>
        </w:tc>
      </w:tr>
      <w:tr w:rsidR="006D1BD3" w:rsidTr="00026737">
        <w:trPr>
          <w:trHeight w:val="510"/>
        </w:trPr>
        <w:tc>
          <w:tcPr>
            <w:tcW w:w="3828" w:type="dxa"/>
            <w:tcBorders>
              <w:top w:val="nil"/>
              <w:left w:val="single" w:sz="8" w:space="0" w:color="auto"/>
              <w:bottom w:val="single" w:sz="4" w:space="0" w:color="auto"/>
              <w:right w:val="single" w:sz="4" w:space="0" w:color="auto"/>
            </w:tcBorders>
            <w:shd w:val="clear" w:color="auto" w:fill="auto"/>
            <w:vAlign w:val="center"/>
          </w:tcPr>
          <w:p w:rsidR="00026737" w:rsidRPr="006C3254" w:rsidRDefault="008A011B" w:rsidP="00026737">
            <w:pPr>
              <w:autoSpaceDE/>
              <w:autoSpaceDN/>
              <w:adjustRightInd/>
              <w:spacing w:after="0"/>
              <w:jc w:val="left"/>
              <w:rPr>
                <w:rFonts w:eastAsia="Times New Roman" w:cs="Arial"/>
                <w:b/>
                <w:sz w:val="22"/>
                <w:szCs w:val="22"/>
                <w:lang w:eastAsia="en-GB"/>
              </w:rPr>
            </w:pPr>
            <w:r w:rsidRPr="006C3254">
              <w:rPr>
                <w:rFonts w:eastAsia="Times New Roman" w:cs="Arial"/>
                <w:b/>
                <w:sz w:val="22"/>
                <w:szCs w:val="22"/>
                <w:lang w:eastAsia="en-GB"/>
              </w:rPr>
              <w:t>Grand Total</w:t>
            </w:r>
          </w:p>
        </w:tc>
        <w:tc>
          <w:tcPr>
            <w:tcW w:w="1842"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b/>
                <w:sz w:val="22"/>
                <w:szCs w:val="22"/>
                <w:lang w:eastAsia="en-GB"/>
              </w:rPr>
            </w:pPr>
            <w:r w:rsidRPr="006C3254">
              <w:rPr>
                <w:rFonts w:eastAsia="Times New Roman" w:cs="Arial"/>
                <w:b/>
                <w:sz w:val="22"/>
                <w:szCs w:val="22"/>
                <w:lang w:eastAsia="en-GB"/>
              </w:rPr>
              <w:t>-28.631</w:t>
            </w:r>
          </w:p>
        </w:tc>
        <w:tc>
          <w:tcPr>
            <w:tcW w:w="1701"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b/>
                <w:sz w:val="22"/>
                <w:szCs w:val="22"/>
                <w:lang w:eastAsia="en-GB"/>
              </w:rPr>
            </w:pPr>
            <w:r w:rsidRPr="006C3254">
              <w:rPr>
                <w:rFonts w:eastAsia="Times New Roman" w:cs="Arial"/>
                <w:b/>
                <w:sz w:val="22"/>
                <w:szCs w:val="22"/>
                <w:lang w:eastAsia="en-GB"/>
              </w:rPr>
              <w:t>-4.594</w:t>
            </w:r>
          </w:p>
        </w:tc>
        <w:tc>
          <w:tcPr>
            <w:tcW w:w="1843" w:type="dxa"/>
            <w:tcBorders>
              <w:top w:val="nil"/>
              <w:left w:val="nil"/>
              <w:bottom w:val="single" w:sz="4" w:space="0" w:color="auto"/>
              <w:right w:val="single" w:sz="4" w:space="0" w:color="auto"/>
            </w:tcBorders>
            <w:shd w:val="clear" w:color="auto" w:fill="auto"/>
            <w:noWrap/>
            <w:vAlign w:val="center"/>
          </w:tcPr>
          <w:p w:rsidR="00026737" w:rsidRPr="006C3254" w:rsidRDefault="008A011B" w:rsidP="00026737">
            <w:pPr>
              <w:autoSpaceDE/>
              <w:autoSpaceDN/>
              <w:adjustRightInd/>
              <w:spacing w:after="0"/>
              <w:jc w:val="center"/>
              <w:rPr>
                <w:rFonts w:eastAsia="Times New Roman" w:cs="Arial"/>
                <w:b/>
                <w:sz w:val="22"/>
                <w:szCs w:val="22"/>
                <w:lang w:eastAsia="en-GB"/>
              </w:rPr>
            </w:pPr>
            <w:r w:rsidRPr="006C3254">
              <w:rPr>
                <w:rFonts w:eastAsia="Times New Roman" w:cs="Arial"/>
                <w:b/>
                <w:sz w:val="22"/>
                <w:szCs w:val="22"/>
                <w:lang w:eastAsia="en-GB"/>
              </w:rPr>
              <w:t>-33.225</w:t>
            </w:r>
          </w:p>
        </w:tc>
      </w:tr>
    </w:tbl>
    <w:p w:rsidR="00026737" w:rsidRDefault="00A953D6" w:rsidP="00026737">
      <w:pPr>
        <w:spacing w:after="0"/>
      </w:pPr>
    </w:p>
    <w:p w:rsidR="00026737" w:rsidRDefault="008A011B">
      <w:pPr>
        <w:autoSpaceDE/>
        <w:autoSpaceDN/>
        <w:adjustRightInd/>
        <w:spacing w:after="0"/>
        <w:jc w:val="left"/>
        <w:rPr>
          <w:b/>
        </w:rPr>
      </w:pPr>
      <w:r>
        <w:rPr>
          <w:b/>
        </w:rPr>
        <w:br w:type="page"/>
      </w:r>
    </w:p>
    <w:p w:rsidR="00026737" w:rsidRDefault="008A011B" w:rsidP="00026737">
      <w:pPr>
        <w:spacing w:after="0"/>
        <w:rPr>
          <w:b/>
        </w:rPr>
      </w:pPr>
      <w:r>
        <w:rPr>
          <w:b/>
        </w:rPr>
        <w:lastRenderedPageBreak/>
        <w:t>8.</w:t>
      </w:r>
      <w:r>
        <w:rPr>
          <w:b/>
        </w:rPr>
        <w:tab/>
        <w:t>Capital Receipts</w:t>
      </w:r>
    </w:p>
    <w:p w:rsidR="00026737" w:rsidRDefault="00A953D6" w:rsidP="00026737">
      <w:pPr>
        <w:spacing w:after="0"/>
      </w:pPr>
    </w:p>
    <w:p w:rsidR="00026737" w:rsidRPr="006805CF" w:rsidRDefault="008A011B" w:rsidP="0002673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F</w:t>
      </w:r>
      <w:r w:rsidRPr="006805CF">
        <w:rPr>
          <w:rFonts w:eastAsia="Times New Roman" w:cs="Arial"/>
          <w:color w:val="auto"/>
        </w:rPr>
        <w:t>rom 1</w:t>
      </w:r>
      <w:r w:rsidRPr="006805CF">
        <w:rPr>
          <w:rFonts w:eastAsia="Times New Roman" w:cs="Arial"/>
          <w:color w:val="auto"/>
          <w:vertAlign w:val="superscript"/>
        </w:rPr>
        <w:t>st</w:t>
      </w:r>
      <w:r w:rsidRPr="006805CF">
        <w:rPr>
          <w:rFonts w:eastAsia="Times New Roman" w:cs="Arial"/>
          <w:color w:val="auto"/>
        </w:rPr>
        <w:t xml:space="preserve"> April 2016 the Government introduced the flexibility for capital receipts to be used to fund revenue expenditure which meets certain criteria. To meet the qualifying criteria the revenue expenditure needs to relate to activity which is designed to generate ongoing revenue savings or to transform a service which results in revenue savings or improvements in the quality of provision.</w:t>
      </w:r>
    </w:p>
    <w:p w:rsidR="00026737" w:rsidRPr="006805CF" w:rsidRDefault="00A953D6" w:rsidP="00026737">
      <w:pPr>
        <w:tabs>
          <w:tab w:val="left" w:pos="567"/>
          <w:tab w:val="left" w:pos="1134"/>
        </w:tabs>
        <w:autoSpaceDE/>
        <w:autoSpaceDN/>
        <w:adjustRightInd/>
        <w:spacing w:after="0" w:line="276" w:lineRule="auto"/>
        <w:rPr>
          <w:rFonts w:eastAsia="Times New Roman" w:cs="Arial"/>
          <w:color w:val="auto"/>
          <w:highlight w:val="yellow"/>
        </w:rPr>
      </w:pPr>
    </w:p>
    <w:p w:rsidR="00026737" w:rsidRPr="006805CF" w:rsidRDefault="008A011B" w:rsidP="00026737">
      <w:pPr>
        <w:tabs>
          <w:tab w:val="left" w:pos="567"/>
          <w:tab w:val="left" w:pos="1134"/>
        </w:tabs>
        <w:autoSpaceDE/>
        <w:autoSpaceDN/>
        <w:adjustRightInd/>
        <w:spacing w:after="0" w:line="276" w:lineRule="auto"/>
        <w:rPr>
          <w:rFonts w:eastAsia="Times New Roman" w:cs="Arial"/>
          <w:color w:val="auto"/>
          <w:highlight w:val="yellow"/>
        </w:rPr>
      </w:pPr>
      <w:r w:rsidRPr="006805CF">
        <w:rPr>
          <w:rFonts w:eastAsia="Times New Roman" w:cs="Arial"/>
          <w:color w:val="auto"/>
        </w:rPr>
        <w:t>As part of the Provisional Settlement in December 2017 it was announced that flexibility to use capital receipts to help meet the revenue costs of transformation programmes will continue for a further three years.</w:t>
      </w:r>
    </w:p>
    <w:p w:rsidR="00026737" w:rsidRPr="006805CF" w:rsidRDefault="00A953D6" w:rsidP="00026737">
      <w:pPr>
        <w:tabs>
          <w:tab w:val="left" w:pos="567"/>
          <w:tab w:val="left" w:pos="1134"/>
        </w:tabs>
        <w:autoSpaceDE/>
        <w:autoSpaceDN/>
        <w:adjustRightInd/>
        <w:spacing w:after="0" w:line="276" w:lineRule="auto"/>
        <w:rPr>
          <w:rFonts w:eastAsia="Times New Roman" w:cs="Arial"/>
          <w:color w:val="auto"/>
          <w:highlight w:val="yellow"/>
        </w:rPr>
      </w:pPr>
    </w:p>
    <w:p w:rsidR="00026737" w:rsidRPr="006805CF" w:rsidRDefault="008A011B" w:rsidP="00026737">
      <w:pPr>
        <w:tabs>
          <w:tab w:val="left" w:pos="567"/>
          <w:tab w:val="left" w:pos="1134"/>
        </w:tabs>
        <w:autoSpaceDE/>
        <w:autoSpaceDN/>
        <w:adjustRightInd/>
        <w:spacing w:after="0" w:line="276" w:lineRule="auto"/>
        <w:rPr>
          <w:rFonts w:eastAsia="Times New Roman" w:cs="Arial"/>
          <w:color w:val="auto"/>
        </w:rPr>
      </w:pPr>
      <w:r w:rsidRPr="006805CF">
        <w:rPr>
          <w:rFonts w:eastAsia="Times New Roman" w:cs="Arial"/>
          <w:color w:val="auto"/>
        </w:rPr>
        <w:t xml:space="preserve">Local authorities </w:t>
      </w:r>
      <w:r>
        <w:rPr>
          <w:rFonts w:eastAsia="Times New Roman" w:cs="Arial"/>
          <w:color w:val="auto"/>
        </w:rPr>
        <w:t xml:space="preserve">are </w:t>
      </w:r>
      <w:r w:rsidRPr="006805CF">
        <w:rPr>
          <w:rFonts w:eastAsia="Times New Roman" w:cs="Arial"/>
          <w:color w:val="auto"/>
        </w:rPr>
        <w:t xml:space="preserve">only be able to use capital receipts from the sale of property, plant and equipment received in the years in which this flexibility is offered. They may not use their existing stock of capital receipts to finance the revenue costs of service reform. </w:t>
      </w:r>
    </w:p>
    <w:p w:rsidR="00026737" w:rsidRDefault="00A953D6" w:rsidP="00026737">
      <w:pPr>
        <w:tabs>
          <w:tab w:val="left" w:pos="567"/>
          <w:tab w:val="left" w:pos="1134"/>
        </w:tabs>
        <w:autoSpaceDE/>
        <w:autoSpaceDN/>
        <w:adjustRightInd/>
        <w:spacing w:after="0" w:line="276" w:lineRule="auto"/>
        <w:rPr>
          <w:rFonts w:eastAsia="Times New Roman" w:cs="Arial"/>
          <w:color w:val="auto"/>
          <w:highlight w:val="yellow"/>
        </w:rPr>
      </w:pPr>
    </w:p>
    <w:p w:rsidR="00026737" w:rsidRDefault="008A011B" w:rsidP="00026737">
      <w:pPr>
        <w:tabs>
          <w:tab w:val="left" w:pos="567"/>
          <w:tab w:val="left" w:pos="1134"/>
        </w:tabs>
        <w:autoSpaceDE/>
        <w:autoSpaceDN/>
        <w:adjustRightInd/>
        <w:spacing w:after="0" w:line="276" w:lineRule="auto"/>
        <w:rPr>
          <w:rFonts w:eastAsia="Times New Roman" w:cs="Arial"/>
          <w:color w:val="auto"/>
        </w:rPr>
      </w:pPr>
      <w:r>
        <w:rPr>
          <w:rFonts w:eastAsia="Times New Roman" w:cs="Arial"/>
          <w:color w:val="auto"/>
        </w:rPr>
        <w:t>As part of the 2017/18 revenue budget agreed by Full Council a total of £12.500m was built into the budget. The table below shows the amount that was expected to be spent in each service area and how much was spent as part of the 2017/18 outturn:</w:t>
      </w:r>
    </w:p>
    <w:p w:rsidR="00026737" w:rsidRDefault="00A953D6" w:rsidP="00026737">
      <w:pPr>
        <w:tabs>
          <w:tab w:val="left" w:pos="567"/>
          <w:tab w:val="left" w:pos="1134"/>
        </w:tabs>
        <w:autoSpaceDE/>
        <w:autoSpaceDN/>
        <w:adjustRightInd/>
        <w:spacing w:after="0" w:line="276" w:lineRule="auto"/>
        <w:rPr>
          <w:rFonts w:eastAsia="Times New Roman" w:cs="Arial"/>
          <w:color w:val="auto"/>
          <w:highlight w:val="yellow"/>
        </w:rPr>
      </w:pPr>
    </w:p>
    <w:tbl>
      <w:tblPr>
        <w:tblStyle w:val="TableGrid19"/>
        <w:tblW w:w="0" w:type="auto"/>
        <w:tblLook w:val="04A0" w:firstRow="1" w:lastRow="0" w:firstColumn="1" w:lastColumn="0" w:noHBand="0" w:noVBand="1"/>
      </w:tblPr>
      <w:tblGrid>
        <w:gridCol w:w="4673"/>
        <w:gridCol w:w="1418"/>
        <w:gridCol w:w="1590"/>
        <w:gridCol w:w="1294"/>
      </w:tblGrid>
      <w:tr w:rsidR="006D1BD3" w:rsidTr="00026737">
        <w:trPr>
          <w:trHeight w:val="283"/>
        </w:trPr>
        <w:tc>
          <w:tcPr>
            <w:tcW w:w="4673" w:type="dxa"/>
            <w:vAlign w:val="center"/>
          </w:tcPr>
          <w:p w:rsidR="00026737" w:rsidRPr="006C3254" w:rsidRDefault="008A011B" w:rsidP="00026737">
            <w:pPr>
              <w:tabs>
                <w:tab w:val="left" w:pos="567"/>
                <w:tab w:val="left" w:pos="1134"/>
              </w:tabs>
              <w:autoSpaceDE/>
              <w:autoSpaceDN/>
              <w:adjustRightInd/>
              <w:spacing w:after="0"/>
              <w:jc w:val="center"/>
              <w:rPr>
                <w:rFonts w:eastAsia="Cambria" w:cs="Arial"/>
                <w:b/>
                <w:color w:val="auto"/>
                <w:sz w:val="22"/>
                <w:szCs w:val="22"/>
                <w:lang w:eastAsia="en-GB"/>
              </w:rPr>
            </w:pPr>
            <w:r w:rsidRPr="006C3254">
              <w:rPr>
                <w:rFonts w:eastAsia="Cambria" w:cs="Arial"/>
                <w:b/>
                <w:color w:val="auto"/>
                <w:sz w:val="22"/>
                <w:szCs w:val="22"/>
                <w:lang w:eastAsia="en-GB"/>
              </w:rPr>
              <w:t>Service Area</w:t>
            </w:r>
          </w:p>
        </w:tc>
        <w:tc>
          <w:tcPr>
            <w:tcW w:w="1418" w:type="dxa"/>
            <w:vAlign w:val="center"/>
          </w:tcPr>
          <w:p w:rsidR="00026737" w:rsidRPr="006C3254" w:rsidRDefault="008A011B" w:rsidP="00026737">
            <w:pPr>
              <w:tabs>
                <w:tab w:val="left" w:pos="567"/>
                <w:tab w:val="left" w:pos="1134"/>
              </w:tabs>
              <w:autoSpaceDE/>
              <w:autoSpaceDN/>
              <w:adjustRightInd/>
              <w:spacing w:after="0"/>
              <w:jc w:val="center"/>
              <w:rPr>
                <w:rFonts w:eastAsia="Cambria" w:cs="Arial"/>
                <w:b/>
                <w:color w:val="auto"/>
                <w:sz w:val="22"/>
                <w:szCs w:val="22"/>
                <w:lang w:eastAsia="en-GB"/>
              </w:rPr>
            </w:pPr>
            <w:r w:rsidRPr="006C3254">
              <w:rPr>
                <w:rFonts w:eastAsia="Cambria" w:cs="Arial"/>
                <w:b/>
                <w:color w:val="auto"/>
                <w:sz w:val="22"/>
                <w:szCs w:val="22"/>
                <w:lang w:eastAsia="en-GB"/>
              </w:rPr>
              <w:t>2017/18</w:t>
            </w:r>
            <w:r>
              <w:rPr>
                <w:rFonts w:eastAsia="Cambria" w:cs="Arial"/>
                <w:b/>
                <w:color w:val="auto"/>
                <w:sz w:val="22"/>
                <w:szCs w:val="22"/>
                <w:lang w:eastAsia="en-GB"/>
              </w:rPr>
              <w:t xml:space="preserve"> </w:t>
            </w:r>
            <w:r w:rsidRPr="006C3254">
              <w:rPr>
                <w:rFonts w:eastAsia="Cambria" w:cs="Arial"/>
                <w:b/>
                <w:color w:val="auto"/>
                <w:sz w:val="22"/>
                <w:szCs w:val="22"/>
                <w:lang w:eastAsia="en-GB"/>
              </w:rPr>
              <w:t>Budget (£m)</w:t>
            </w:r>
          </w:p>
        </w:tc>
        <w:tc>
          <w:tcPr>
            <w:tcW w:w="1590" w:type="dxa"/>
            <w:vAlign w:val="center"/>
          </w:tcPr>
          <w:p w:rsidR="00026737" w:rsidRPr="006C3254" w:rsidRDefault="008A011B" w:rsidP="00026737">
            <w:pPr>
              <w:tabs>
                <w:tab w:val="left" w:pos="567"/>
                <w:tab w:val="left" w:pos="1134"/>
              </w:tabs>
              <w:autoSpaceDE/>
              <w:autoSpaceDN/>
              <w:adjustRightInd/>
              <w:spacing w:after="0"/>
              <w:jc w:val="center"/>
              <w:rPr>
                <w:rFonts w:eastAsia="Cambria" w:cs="Arial"/>
                <w:b/>
                <w:color w:val="auto"/>
                <w:sz w:val="22"/>
                <w:szCs w:val="22"/>
                <w:lang w:eastAsia="en-GB"/>
              </w:rPr>
            </w:pPr>
            <w:r w:rsidRPr="006C3254">
              <w:rPr>
                <w:rFonts w:eastAsia="Cambria" w:cs="Arial"/>
                <w:b/>
                <w:color w:val="auto"/>
                <w:sz w:val="22"/>
                <w:szCs w:val="22"/>
                <w:lang w:eastAsia="en-GB"/>
              </w:rPr>
              <w:t>2017/18</w:t>
            </w:r>
            <w:r>
              <w:rPr>
                <w:rFonts w:eastAsia="Cambria" w:cs="Arial"/>
                <w:b/>
                <w:color w:val="auto"/>
                <w:sz w:val="22"/>
                <w:szCs w:val="22"/>
                <w:lang w:eastAsia="en-GB"/>
              </w:rPr>
              <w:t xml:space="preserve"> </w:t>
            </w:r>
            <w:r w:rsidRPr="006C3254">
              <w:rPr>
                <w:rFonts w:eastAsia="Cambria" w:cs="Arial"/>
                <w:b/>
                <w:color w:val="auto"/>
                <w:sz w:val="22"/>
                <w:szCs w:val="22"/>
                <w:lang w:eastAsia="en-GB"/>
              </w:rPr>
              <w:t>Expenditure (£m)</w:t>
            </w:r>
          </w:p>
        </w:tc>
        <w:tc>
          <w:tcPr>
            <w:tcW w:w="1294" w:type="dxa"/>
            <w:vAlign w:val="center"/>
          </w:tcPr>
          <w:p w:rsidR="00026737" w:rsidRPr="006C3254" w:rsidRDefault="008A011B" w:rsidP="00026737">
            <w:pPr>
              <w:tabs>
                <w:tab w:val="left" w:pos="567"/>
                <w:tab w:val="left" w:pos="1134"/>
              </w:tabs>
              <w:autoSpaceDE/>
              <w:autoSpaceDN/>
              <w:adjustRightInd/>
              <w:spacing w:after="0"/>
              <w:jc w:val="center"/>
              <w:rPr>
                <w:rFonts w:eastAsia="Cambria" w:cs="Arial"/>
                <w:b/>
                <w:color w:val="auto"/>
                <w:sz w:val="22"/>
                <w:szCs w:val="22"/>
                <w:lang w:eastAsia="en-GB"/>
              </w:rPr>
            </w:pPr>
            <w:r w:rsidRPr="006C3254">
              <w:rPr>
                <w:rFonts w:eastAsia="Cambria" w:cs="Arial"/>
                <w:b/>
                <w:color w:val="auto"/>
                <w:sz w:val="22"/>
                <w:szCs w:val="22"/>
                <w:lang w:eastAsia="en-GB"/>
              </w:rPr>
              <w:t>2017/18</w:t>
            </w:r>
            <w:r>
              <w:rPr>
                <w:rFonts w:eastAsia="Cambria" w:cs="Arial"/>
                <w:b/>
                <w:color w:val="auto"/>
                <w:sz w:val="22"/>
                <w:szCs w:val="22"/>
                <w:lang w:eastAsia="en-GB"/>
              </w:rPr>
              <w:t xml:space="preserve"> </w:t>
            </w:r>
            <w:r w:rsidRPr="006C3254">
              <w:rPr>
                <w:rFonts w:eastAsia="Cambria" w:cs="Arial"/>
                <w:b/>
                <w:color w:val="auto"/>
                <w:sz w:val="22"/>
                <w:szCs w:val="22"/>
                <w:lang w:eastAsia="en-GB"/>
              </w:rPr>
              <w:t>Variance</w:t>
            </w:r>
            <w:r>
              <w:rPr>
                <w:rFonts w:eastAsia="Cambria" w:cs="Arial"/>
                <w:b/>
                <w:color w:val="auto"/>
                <w:sz w:val="22"/>
                <w:szCs w:val="22"/>
                <w:lang w:eastAsia="en-GB"/>
              </w:rPr>
              <w:t xml:space="preserve"> </w:t>
            </w:r>
            <w:r w:rsidRPr="006C3254">
              <w:rPr>
                <w:rFonts w:eastAsia="Cambria" w:cs="Arial"/>
                <w:b/>
                <w:color w:val="auto"/>
                <w:sz w:val="22"/>
                <w:szCs w:val="22"/>
                <w:lang w:eastAsia="en-GB"/>
              </w:rPr>
              <w:t>(£m)</w:t>
            </w:r>
          </w:p>
        </w:tc>
      </w:tr>
      <w:tr w:rsidR="006D1BD3" w:rsidTr="00026737">
        <w:trPr>
          <w:trHeight w:val="283"/>
        </w:trPr>
        <w:tc>
          <w:tcPr>
            <w:tcW w:w="4673" w:type="dxa"/>
          </w:tcPr>
          <w:p w:rsidR="00026737" w:rsidRPr="006C3254" w:rsidRDefault="00A953D6" w:rsidP="00026737">
            <w:pPr>
              <w:tabs>
                <w:tab w:val="left" w:pos="567"/>
                <w:tab w:val="left" w:pos="1134"/>
              </w:tabs>
              <w:autoSpaceDE/>
              <w:autoSpaceDN/>
              <w:adjustRightInd/>
              <w:spacing w:after="0"/>
              <w:rPr>
                <w:rFonts w:eastAsia="Cambria" w:cs="Arial"/>
                <w:color w:val="auto"/>
                <w:sz w:val="22"/>
                <w:szCs w:val="22"/>
                <w:highlight w:val="yellow"/>
                <w:lang w:eastAsia="en-GB"/>
              </w:rPr>
            </w:pPr>
          </w:p>
        </w:tc>
        <w:tc>
          <w:tcPr>
            <w:tcW w:w="1418" w:type="dxa"/>
          </w:tcPr>
          <w:p w:rsidR="00026737" w:rsidRPr="006C3254" w:rsidRDefault="00A953D6" w:rsidP="00026737">
            <w:pPr>
              <w:autoSpaceDE/>
              <w:autoSpaceDN/>
              <w:adjustRightInd/>
              <w:spacing w:after="0"/>
              <w:ind w:right="16"/>
              <w:jc w:val="right"/>
              <w:rPr>
                <w:rFonts w:eastAsia="Cambria" w:cs="Arial"/>
                <w:color w:val="auto"/>
                <w:sz w:val="22"/>
                <w:szCs w:val="22"/>
                <w:highlight w:val="yellow"/>
                <w:lang w:eastAsia="en-GB"/>
              </w:rPr>
            </w:pPr>
          </w:p>
        </w:tc>
        <w:tc>
          <w:tcPr>
            <w:tcW w:w="1590" w:type="dxa"/>
          </w:tcPr>
          <w:p w:rsidR="00026737" w:rsidRPr="006C3254" w:rsidRDefault="00A953D6" w:rsidP="00026737">
            <w:pPr>
              <w:autoSpaceDE/>
              <w:autoSpaceDN/>
              <w:adjustRightInd/>
              <w:spacing w:after="0"/>
              <w:ind w:right="16"/>
              <w:jc w:val="right"/>
              <w:rPr>
                <w:rFonts w:eastAsia="Cambria" w:cs="Arial"/>
                <w:color w:val="auto"/>
                <w:sz w:val="22"/>
                <w:szCs w:val="22"/>
                <w:highlight w:val="yellow"/>
                <w:lang w:eastAsia="en-GB"/>
              </w:rPr>
            </w:pPr>
          </w:p>
        </w:tc>
        <w:tc>
          <w:tcPr>
            <w:tcW w:w="1294" w:type="dxa"/>
          </w:tcPr>
          <w:p w:rsidR="00026737" w:rsidRPr="006C3254" w:rsidRDefault="00A953D6" w:rsidP="00026737">
            <w:pPr>
              <w:autoSpaceDE/>
              <w:autoSpaceDN/>
              <w:adjustRightInd/>
              <w:spacing w:after="0"/>
              <w:ind w:right="16"/>
              <w:jc w:val="right"/>
              <w:rPr>
                <w:rFonts w:eastAsia="Cambria" w:cs="Arial"/>
                <w:color w:val="auto"/>
                <w:sz w:val="22"/>
                <w:szCs w:val="22"/>
                <w:highlight w:val="yellow"/>
                <w:lang w:eastAsia="en-GB"/>
              </w:rPr>
            </w:pP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 xml:space="preserve">Children's Social Care </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4.728</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3.998</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-0.730</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Waste Services</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0.500</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0.274</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-0.226</w:t>
            </w:r>
          </w:p>
        </w:tc>
      </w:tr>
      <w:tr w:rsidR="006D1BD3" w:rsidTr="00026737">
        <w:trPr>
          <w:trHeight w:val="283"/>
        </w:trPr>
        <w:tc>
          <w:tcPr>
            <w:tcW w:w="4673" w:type="dxa"/>
            <w:shd w:val="clear" w:color="auto" w:fill="auto"/>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Exchequer Services</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0.200</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0.192</w:t>
            </w:r>
          </w:p>
        </w:tc>
        <w:tc>
          <w:tcPr>
            <w:tcW w:w="1294" w:type="dxa"/>
            <w:shd w:val="clear" w:color="auto" w:fill="auto"/>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-0.008</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Human Resources</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0.884</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0.862</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-0.022</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Programme Office</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0.400</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0.279</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-0.121</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 xml:space="preserve">Policy, Information and Commissioning </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0.736</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0.874</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0.139</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 xml:space="preserve">Procurement </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0.630</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0.643</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0.014</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 xml:space="preserve">Financial Management (Operational) </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0.802</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0.813</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0.012</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Corporate Finance</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0.121</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0.228</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0.107</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Estates</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0.308</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0.261</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-0.047</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Facilities Management</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0.193</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0.198</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0.005</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 xml:space="preserve">Asset Management </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1.120</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1.067</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-0.053</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Core Business Systems Transformation</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1.068</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1.839</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0.771</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color w:val="auto"/>
                <w:sz w:val="22"/>
                <w:szCs w:val="22"/>
                <w:lang w:eastAsia="en-GB"/>
              </w:rPr>
            </w:pPr>
            <w:r w:rsidRPr="006C3254">
              <w:rPr>
                <w:rFonts w:eastAsia="Cambria" w:cs="Arial"/>
                <w:color w:val="auto"/>
                <w:sz w:val="22"/>
                <w:szCs w:val="22"/>
                <w:lang w:eastAsia="en-GB"/>
              </w:rPr>
              <w:t>Adults Services</w:t>
            </w:r>
          </w:p>
        </w:tc>
        <w:tc>
          <w:tcPr>
            <w:tcW w:w="1418"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0.812</w:t>
            </w:r>
          </w:p>
        </w:tc>
        <w:tc>
          <w:tcPr>
            <w:tcW w:w="1590"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0.972</w:t>
            </w:r>
          </w:p>
        </w:tc>
        <w:tc>
          <w:tcPr>
            <w:tcW w:w="1294" w:type="dxa"/>
          </w:tcPr>
          <w:p w:rsidR="00026737" w:rsidRPr="006C3254" w:rsidRDefault="008A011B" w:rsidP="00026737">
            <w:pPr>
              <w:autoSpaceDE/>
              <w:autoSpaceDN/>
              <w:adjustRightInd/>
              <w:spacing w:after="0"/>
              <w:ind w:right="16"/>
              <w:jc w:val="right"/>
              <w:rPr>
                <w:rFonts w:eastAsia="Cambria" w:cs="Arial"/>
                <w:color w:val="auto"/>
                <w:sz w:val="22"/>
                <w:szCs w:val="22"/>
                <w:lang w:eastAsia="en-GB"/>
              </w:rPr>
            </w:pPr>
            <w:r>
              <w:rPr>
                <w:rFonts w:eastAsia="Cambria" w:cs="Arial"/>
                <w:color w:val="auto"/>
                <w:sz w:val="22"/>
                <w:szCs w:val="22"/>
                <w:lang w:eastAsia="en-GB"/>
              </w:rPr>
              <w:t>0.160</w:t>
            </w:r>
          </w:p>
        </w:tc>
      </w:tr>
      <w:tr w:rsidR="006D1BD3" w:rsidTr="00026737">
        <w:trPr>
          <w:trHeight w:val="283"/>
        </w:trPr>
        <w:tc>
          <w:tcPr>
            <w:tcW w:w="4673" w:type="dxa"/>
          </w:tcPr>
          <w:p w:rsidR="00026737" w:rsidRPr="006C3254" w:rsidRDefault="008A011B" w:rsidP="00026737">
            <w:pPr>
              <w:tabs>
                <w:tab w:val="left" w:pos="567"/>
                <w:tab w:val="left" w:pos="1134"/>
              </w:tabs>
              <w:autoSpaceDE/>
              <w:autoSpaceDN/>
              <w:adjustRightInd/>
              <w:spacing w:after="0"/>
              <w:rPr>
                <w:rFonts w:eastAsia="Cambria" w:cs="Arial"/>
                <w:b/>
                <w:color w:val="auto"/>
                <w:sz w:val="22"/>
                <w:szCs w:val="22"/>
                <w:lang w:eastAsia="en-GB"/>
              </w:rPr>
            </w:pPr>
            <w:r w:rsidRPr="006C3254">
              <w:rPr>
                <w:rFonts w:eastAsia="Cambria" w:cs="Arial"/>
                <w:b/>
                <w:color w:val="auto"/>
                <w:sz w:val="22"/>
                <w:szCs w:val="22"/>
                <w:lang w:eastAsia="en-GB"/>
              </w:rPr>
              <w:t>Grand Total</w:t>
            </w:r>
          </w:p>
        </w:tc>
        <w:tc>
          <w:tcPr>
            <w:tcW w:w="1418" w:type="dxa"/>
          </w:tcPr>
          <w:p w:rsidR="00026737" w:rsidRPr="006C3254" w:rsidRDefault="008A011B" w:rsidP="00026737">
            <w:pPr>
              <w:autoSpaceDE/>
              <w:autoSpaceDN/>
              <w:adjustRightInd/>
              <w:spacing w:after="0"/>
              <w:ind w:right="16"/>
              <w:jc w:val="right"/>
              <w:rPr>
                <w:rFonts w:eastAsia="Cambria" w:cs="Arial"/>
                <w:b/>
                <w:color w:val="auto"/>
                <w:sz w:val="22"/>
                <w:szCs w:val="22"/>
                <w:lang w:eastAsia="en-GB"/>
              </w:rPr>
            </w:pPr>
            <w:r>
              <w:rPr>
                <w:rFonts w:eastAsia="Cambria" w:cs="Arial"/>
                <w:b/>
                <w:color w:val="auto"/>
                <w:sz w:val="22"/>
                <w:szCs w:val="22"/>
                <w:lang w:eastAsia="en-GB"/>
              </w:rPr>
              <w:t>12.500</w:t>
            </w:r>
          </w:p>
        </w:tc>
        <w:tc>
          <w:tcPr>
            <w:tcW w:w="1590" w:type="dxa"/>
          </w:tcPr>
          <w:p w:rsidR="00026737" w:rsidRPr="006C3254" w:rsidRDefault="008A011B" w:rsidP="00026737">
            <w:pPr>
              <w:autoSpaceDE/>
              <w:autoSpaceDN/>
              <w:adjustRightInd/>
              <w:spacing w:after="0"/>
              <w:ind w:right="16"/>
              <w:jc w:val="right"/>
              <w:rPr>
                <w:rFonts w:eastAsia="Cambria" w:cs="Arial"/>
                <w:b/>
                <w:color w:val="auto"/>
                <w:sz w:val="22"/>
                <w:szCs w:val="22"/>
                <w:lang w:eastAsia="en-GB"/>
              </w:rPr>
            </w:pPr>
            <w:r>
              <w:rPr>
                <w:rFonts w:eastAsia="Cambria" w:cs="Arial"/>
                <w:b/>
                <w:color w:val="auto"/>
                <w:sz w:val="22"/>
                <w:szCs w:val="22"/>
                <w:lang w:eastAsia="en-GB"/>
              </w:rPr>
              <w:t>12.500</w:t>
            </w:r>
          </w:p>
        </w:tc>
        <w:tc>
          <w:tcPr>
            <w:tcW w:w="1294" w:type="dxa"/>
          </w:tcPr>
          <w:p w:rsidR="00026737" w:rsidRPr="006C3254" w:rsidRDefault="008A011B" w:rsidP="00026737">
            <w:pPr>
              <w:autoSpaceDE/>
              <w:autoSpaceDN/>
              <w:adjustRightInd/>
              <w:spacing w:after="0"/>
              <w:ind w:right="16"/>
              <w:jc w:val="right"/>
              <w:rPr>
                <w:rFonts w:eastAsia="Cambria" w:cs="Arial"/>
                <w:b/>
                <w:color w:val="auto"/>
                <w:sz w:val="22"/>
                <w:szCs w:val="22"/>
                <w:lang w:eastAsia="en-GB"/>
              </w:rPr>
            </w:pPr>
            <w:r>
              <w:rPr>
                <w:rFonts w:eastAsia="Cambria" w:cs="Arial"/>
                <w:b/>
                <w:color w:val="auto"/>
                <w:sz w:val="22"/>
                <w:szCs w:val="22"/>
                <w:lang w:eastAsia="en-GB"/>
              </w:rPr>
              <w:t>0.000</w:t>
            </w:r>
          </w:p>
        </w:tc>
      </w:tr>
    </w:tbl>
    <w:p w:rsidR="00026737" w:rsidRPr="006805CF" w:rsidRDefault="00A953D6" w:rsidP="00026737">
      <w:pPr>
        <w:tabs>
          <w:tab w:val="left" w:pos="567"/>
          <w:tab w:val="left" w:pos="1134"/>
        </w:tabs>
        <w:autoSpaceDE/>
        <w:autoSpaceDN/>
        <w:adjustRightInd/>
        <w:spacing w:after="0" w:line="276" w:lineRule="auto"/>
        <w:rPr>
          <w:rFonts w:eastAsia="Times New Roman" w:cs="Arial"/>
          <w:color w:val="auto"/>
          <w:highlight w:val="yellow"/>
        </w:rPr>
      </w:pPr>
    </w:p>
    <w:p w:rsidR="00026737" w:rsidRDefault="008A011B" w:rsidP="00026737">
      <w:pPr>
        <w:tabs>
          <w:tab w:val="left" w:pos="567"/>
          <w:tab w:val="left" w:pos="1134"/>
        </w:tabs>
        <w:autoSpaceDE/>
        <w:autoSpaceDN/>
        <w:adjustRightInd/>
        <w:spacing w:after="0" w:line="276" w:lineRule="auto"/>
        <w:rPr>
          <w:rFonts w:eastAsia="Times New Roman" w:cs="Arial"/>
          <w:color w:val="auto"/>
          <w:szCs w:val="22"/>
        </w:rPr>
      </w:pPr>
      <w:r>
        <w:rPr>
          <w:rFonts w:eastAsia="Times New Roman" w:cs="Arial"/>
          <w:color w:val="auto"/>
          <w:szCs w:val="22"/>
        </w:rPr>
        <w:t>In 2017/18 actual receipts totalled £7.299m and with the balance carried forward from 2016/17 the total receipts achieved totalled £11.760m.  This resulted in a shortfall in the budgeted level of receipts in year. The short fall was as a result of a reclassification of a c£0.500m receipt that could not be recognised at this stage in the development process and a small shortfall due to delays in completion of sales. It is expected that the</w:t>
      </w:r>
      <w:r w:rsidRPr="006805CF">
        <w:rPr>
          <w:rFonts w:eastAsia="Times New Roman" w:cs="Arial"/>
          <w:color w:val="auto"/>
          <w:szCs w:val="22"/>
        </w:rPr>
        <w:t xml:space="preserve"> actual receipts received in any one year will fluctuate in line with local property markets and the type of asset available for sale. </w:t>
      </w:r>
      <w:r>
        <w:rPr>
          <w:rFonts w:eastAsia="Times New Roman" w:cs="Arial"/>
          <w:color w:val="auto"/>
          <w:szCs w:val="22"/>
        </w:rPr>
        <w:t xml:space="preserve">The shortfall of £0.740m has been </w:t>
      </w:r>
      <w:r>
        <w:rPr>
          <w:rFonts w:eastAsia="Times New Roman" w:cs="Arial"/>
          <w:color w:val="auto"/>
          <w:szCs w:val="22"/>
        </w:rPr>
        <w:lastRenderedPageBreak/>
        <w:t xml:space="preserve">met from the Transitional Reserve, as this was outlined as the required action if there was a shortfall. </w:t>
      </w:r>
    </w:p>
    <w:p w:rsidR="00026737" w:rsidRDefault="00A953D6" w:rsidP="00026737">
      <w:pPr>
        <w:tabs>
          <w:tab w:val="left" w:pos="567"/>
          <w:tab w:val="left" w:pos="1134"/>
        </w:tabs>
        <w:autoSpaceDE/>
        <w:autoSpaceDN/>
        <w:adjustRightInd/>
        <w:spacing w:after="0" w:line="276" w:lineRule="auto"/>
        <w:rPr>
          <w:rFonts w:eastAsia="Times New Roman" w:cs="Arial"/>
          <w:color w:val="auto"/>
          <w:szCs w:val="22"/>
        </w:rPr>
      </w:pPr>
    </w:p>
    <w:p w:rsidR="00026737" w:rsidRDefault="008A011B" w:rsidP="00026737">
      <w:pPr>
        <w:tabs>
          <w:tab w:val="left" w:pos="567"/>
          <w:tab w:val="left" w:pos="1134"/>
        </w:tabs>
        <w:spacing w:after="0"/>
        <w:rPr>
          <w:rFonts w:eastAsia="Times New Roman" w:cs="Arial"/>
          <w:color w:val="auto"/>
          <w:szCs w:val="22"/>
        </w:rPr>
      </w:pPr>
      <w:r>
        <w:rPr>
          <w:rFonts w:eastAsia="Times New Roman" w:cs="Arial"/>
          <w:color w:val="auto"/>
          <w:szCs w:val="22"/>
        </w:rPr>
        <w:t>The funding shown above has been used to support the following projects:</w:t>
      </w:r>
    </w:p>
    <w:p w:rsidR="00026737" w:rsidRDefault="00A953D6" w:rsidP="00026737">
      <w:pPr>
        <w:tabs>
          <w:tab w:val="left" w:pos="567"/>
          <w:tab w:val="left" w:pos="1134"/>
        </w:tabs>
        <w:spacing w:after="0"/>
        <w:rPr>
          <w:rFonts w:eastAsia="Times New Roman" w:cs="Arial"/>
          <w:color w:val="auto"/>
          <w:szCs w:val="22"/>
        </w:rPr>
      </w:pPr>
    </w:p>
    <w:p w:rsidR="00026737" w:rsidRDefault="008A011B" w:rsidP="00026737">
      <w:pPr>
        <w:pStyle w:val="ListParagraph"/>
        <w:numPr>
          <w:ilvl w:val="0"/>
          <w:numId w:val="42"/>
        </w:numPr>
        <w:tabs>
          <w:tab w:val="left" w:pos="567"/>
          <w:tab w:val="left" w:pos="1134"/>
        </w:tabs>
        <w:spacing w:after="0"/>
        <w:rPr>
          <w:rFonts w:eastAsia="Times New Roman" w:cs="Arial"/>
          <w:color w:val="auto"/>
          <w:szCs w:val="22"/>
        </w:rPr>
      </w:pPr>
      <w:r>
        <w:rPr>
          <w:rFonts w:eastAsia="Times New Roman" w:cs="Arial"/>
          <w:color w:val="auto"/>
          <w:szCs w:val="22"/>
        </w:rPr>
        <w:t xml:space="preserve">Transformation activity to support the delivery of £54m of savings that were previously agreed and included within the 2017/18 budget and beyond. </w:t>
      </w:r>
    </w:p>
    <w:p w:rsidR="00026737" w:rsidRDefault="008A011B" w:rsidP="00026737">
      <w:pPr>
        <w:pStyle w:val="ListParagraph"/>
        <w:numPr>
          <w:ilvl w:val="0"/>
          <w:numId w:val="42"/>
        </w:numPr>
        <w:tabs>
          <w:tab w:val="left" w:pos="567"/>
          <w:tab w:val="left" w:pos="1134"/>
        </w:tabs>
        <w:spacing w:after="0"/>
        <w:rPr>
          <w:rFonts w:eastAsia="Times New Roman" w:cs="Arial"/>
          <w:color w:val="auto"/>
          <w:szCs w:val="22"/>
        </w:rPr>
      </w:pPr>
      <w:r>
        <w:rPr>
          <w:rFonts w:eastAsia="Times New Roman" w:cs="Arial"/>
          <w:color w:val="auto"/>
          <w:szCs w:val="22"/>
        </w:rPr>
        <w:t xml:space="preserve">Development of £81m of further savings that have been agreed as part of the 2018/19 budget and medium term financial strategy. </w:t>
      </w:r>
    </w:p>
    <w:p w:rsidR="00026737" w:rsidRDefault="008A011B" w:rsidP="00026737">
      <w:pPr>
        <w:pStyle w:val="ListParagraph"/>
        <w:numPr>
          <w:ilvl w:val="0"/>
          <w:numId w:val="42"/>
        </w:numPr>
        <w:tabs>
          <w:tab w:val="left" w:pos="567"/>
          <w:tab w:val="left" w:pos="1134"/>
        </w:tabs>
        <w:spacing w:after="0"/>
        <w:rPr>
          <w:rFonts w:eastAsia="Times New Roman" w:cs="Arial"/>
          <w:color w:val="auto"/>
          <w:szCs w:val="22"/>
        </w:rPr>
      </w:pPr>
      <w:r>
        <w:rPr>
          <w:rFonts w:eastAsia="Times New Roman" w:cs="Arial"/>
          <w:color w:val="auto"/>
          <w:szCs w:val="22"/>
        </w:rPr>
        <w:t xml:space="preserve">Additional investment in Children's Social Care to transform and improve the services following inspection outcomes. </w:t>
      </w:r>
    </w:p>
    <w:p w:rsidR="00026737" w:rsidRPr="0092778A" w:rsidRDefault="008A011B" w:rsidP="00026737">
      <w:pPr>
        <w:pStyle w:val="ListParagraph"/>
        <w:numPr>
          <w:ilvl w:val="0"/>
          <w:numId w:val="42"/>
        </w:numPr>
        <w:tabs>
          <w:tab w:val="left" w:pos="567"/>
          <w:tab w:val="left" w:pos="1134"/>
        </w:tabs>
        <w:spacing w:after="0"/>
        <w:rPr>
          <w:rFonts w:eastAsia="Times New Roman" w:cs="Arial"/>
          <w:color w:val="auto"/>
          <w:szCs w:val="22"/>
        </w:rPr>
      </w:pPr>
      <w:r>
        <w:rPr>
          <w:rFonts w:eastAsia="Times New Roman" w:cs="Arial"/>
          <w:color w:val="auto"/>
          <w:szCs w:val="22"/>
        </w:rPr>
        <w:t xml:space="preserve">Support the Passport to Independence Transformation Programme in Adults Services. </w:t>
      </w:r>
    </w:p>
    <w:p w:rsidR="00026737" w:rsidRPr="0092778A" w:rsidRDefault="00A953D6" w:rsidP="00026737">
      <w:pPr>
        <w:tabs>
          <w:tab w:val="left" w:pos="567"/>
          <w:tab w:val="left" w:pos="1134"/>
        </w:tabs>
        <w:spacing w:after="0"/>
        <w:rPr>
          <w:rFonts w:cs="Arial"/>
        </w:rPr>
      </w:pPr>
    </w:p>
    <w:p w:rsidR="00026737" w:rsidRDefault="008A011B" w:rsidP="00026737">
      <w:pPr>
        <w:tabs>
          <w:tab w:val="left" w:pos="567"/>
          <w:tab w:val="left" w:pos="1134"/>
        </w:tabs>
        <w:spacing w:after="0"/>
        <w:rPr>
          <w:rFonts w:cs="Arial"/>
        </w:rPr>
      </w:pPr>
      <w:r w:rsidRPr="00803C35">
        <w:rPr>
          <w:rFonts w:cs="Arial"/>
        </w:rPr>
        <w:t xml:space="preserve">At Full Council in February each year the County Council's prudential indicators are reviewed and approved. </w:t>
      </w:r>
      <w:r>
        <w:rPr>
          <w:rFonts w:cs="Arial"/>
        </w:rPr>
        <w:t xml:space="preserve">As part of the Treasury Management Strategy, that is requesting approval at this Full Council meeting, </w:t>
      </w:r>
      <w:r w:rsidRPr="00803C35">
        <w:rPr>
          <w:rFonts w:cs="Arial"/>
        </w:rPr>
        <w:t xml:space="preserve">the level of indicators incorporate the budgeted level of capital receipts that </w:t>
      </w:r>
      <w:r>
        <w:rPr>
          <w:rFonts w:cs="Arial"/>
        </w:rPr>
        <w:t>will</w:t>
      </w:r>
      <w:r w:rsidRPr="00803C35">
        <w:rPr>
          <w:rFonts w:cs="Arial"/>
        </w:rPr>
        <w:t xml:space="preserve"> be used to support the revenue budget</w:t>
      </w:r>
      <w:r>
        <w:rPr>
          <w:rFonts w:cs="Arial"/>
        </w:rPr>
        <w:t xml:space="preserve"> rather than the capital programme</w:t>
      </w:r>
      <w:r w:rsidRPr="00803C35">
        <w:rPr>
          <w:rFonts w:cs="Arial"/>
        </w:rPr>
        <w:t>. The indicators are reviewed on a regular basis and reported to Members on a quarterly basis.</w:t>
      </w:r>
    </w:p>
    <w:p w:rsidR="00026737" w:rsidRDefault="008A011B" w:rsidP="00026737">
      <w:pPr>
        <w:autoSpaceDE/>
        <w:autoSpaceDN/>
        <w:adjustRightInd/>
        <w:spacing w:after="0"/>
        <w:jc w:val="left"/>
      </w:pPr>
      <w:r>
        <w:br w:type="page"/>
      </w:r>
    </w:p>
    <w:p w:rsidR="00026737" w:rsidRPr="0013493F" w:rsidRDefault="008A011B" w:rsidP="00026737">
      <w:pPr>
        <w:rPr>
          <w:rFonts w:cs="Arial"/>
          <w:b/>
          <w:lang w:eastAsia="en-GB"/>
        </w:rPr>
      </w:pPr>
      <w:r w:rsidRPr="0013493F">
        <w:rPr>
          <w:rFonts w:cs="Arial"/>
          <w:b/>
          <w:lang w:eastAsia="en-GB"/>
        </w:rPr>
        <w:lastRenderedPageBreak/>
        <w:t>Section D – Conclusion on the County Council's Financial Health</w:t>
      </w:r>
    </w:p>
    <w:p w:rsidR="00026737" w:rsidRPr="00FF233C" w:rsidRDefault="008A011B" w:rsidP="00026737">
      <w:pPr>
        <w:spacing w:after="0"/>
        <w:rPr>
          <w:rFonts w:cs="Arial"/>
        </w:rPr>
      </w:pPr>
      <w:r w:rsidRPr="00FF233C">
        <w:rPr>
          <w:rFonts w:cs="Arial"/>
        </w:rPr>
        <w:t>Whilst the revenue outturn position for 2017/18 presented within the report is positive in headline terms, the revenue budget was supported significantly by reserves to meet the structural funding gap.  The underlying outturn position, excluding the structural application of reserves, was an overspend of c£38m and a forecast funding gap of £144m by 2021/22 remains.</w:t>
      </w:r>
    </w:p>
    <w:p w:rsidR="00026737" w:rsidRPr="00FF233C" w:rsidRDefault="00A953D6" w:rsidP="00026737">
      <w:pPr>
        <w:spacing w:after="0"/>
        <w:rPr>
          <w:rFonts w:cs="Arial"/>
        </w:rPr>
      </w:pPr>
    </w:p>
    <w:p w:rsidR="00026737" w:rsidRPr="00FF233C" w:rsidRDefault="008A011B" w:rsidP="00026737">
      <w:pPr>
        <w:spacing w:after="0"/>
        <w:rPr>
          <w:rFonts w:cs="Arial"/>
        </w:rPr>
      </w:pPr>
      <w:r w:rsidRPr="00790708">
        <w:rPr>
          <w:rFonts w:cs="Arial"/>
        </w:rPr>
        <w:t>The agreed use of reserves represents the continuation of reserve funding of the revenue budget over recent years, whilst proposals to reduce the gap have been developed.  These have been a combination</w:t>
      </w:r>
      <w:r w:rsidRPr="00FF233C">
        <w:rPr>
          <w:rFonts w:cs="Arial"/>
        </w:rPr>
        <w:t xml:space="preserve"> of efficiencies, demand management, income generation, reduction in some services and reducing the level of revenue funding of the capital programme.</w:t>
      </w:r>
    </w:p>
    <w:p w:rsidR="00026737" w:rsidRPr="00FF233C" w:rsidRDefault="00A953D6" w:rsidP="00026737">
      <w:pPr>
        <w:spacing w:after="0"/>
        <w:rPr>
          <w:rFonts w:cs="Arial"/>
        </w:rPr>
      </w:pPr>
    </w:p>
    <w:p w:rsidR="00026737" w:rsidRPr="00790708" w:rsidRDefault="008A011B" w:rsidP="00026737">
      <w:pPr>
        <w:spacing w:after="0"/>
        <w:rPr>
          <w:rFonts w:cs="Arial"/>
        </w:rPr>
      </w:pPr>
      <w:r w:rsidRPr="00790708">
        <w:rPr>
          <w:rFonts w:cs="Arial"/>
        </w:rPr>
        <w:t xml:space="preserve">The availability of reserves to support recent revenue budgets has been enabled by strong financial stewardship.  The council has a track record of delivering positive outturn positions in most years through strong financial management, including delivering the majority of savings that have been agreed in budget cycles.  </w:t>
      </w:r>
    </w:p>
    <w:p w:rsidR="00026737" w:rsidRPr="00790708" w:rsidRDefault="00A953D6" w:rsidP="00026737">
      <w:pPr>
        <w:spacing w:after="0"/>
        <w:rPr>
          <w:rFonts w:cs="Arial"/>
        </w:rPr>
      </w:pPr>
    </w:p>
    <w:p w:rsidR="00026737" w:rsidRPr="00790708" w:rsidRDefault="008A011B" w:rsidP="00026737">
      <w:pPr>
        <w:spacing w:after="0"/>
        <w:rPr>
          <w:rFonts w:cs="Arial"/>
        </w:rPr>
      </w:pPr>
      <w:r w:rsidRPr="00790708">
        <w:rPr>
          <w:rFonts w:cs="Arial"/>
        </w:rPr>
        <w:t>Positively this has continued in 2017/18 with the revenue underspend resulting in a much lower net reduction in reserves than originally budgeted for.  A significant proportion of the underspend reflects early delivery of savings now agreed as part of the 2018/19 budget, but detailed work is being undertaken to determine the extent to which any of the underspending areas represent structural underspends not yet adjusted for within the MTFS for future years, e.g. continuing strong treasury management performance.</w:t>
      </w:r>
    </w:p>
    <w:p w:rsidR="00026737" w:rsidRPr="00790708" w:rsidRDefault="00A953D6" w:rsidP="00026737">
      <w:pPr>
        <w:spacing w:after="0"/>
        <w:rPr>
          <w:rFonts w:cs="Arial"/>
        </w:rPr>
      </w:pPr>
    </w:p>
    <w:p w:rsidR="00026737" w:rsidRPr="00790708" w:rsidRDefault="008A011B" w:rsidP="00026737">
      <w:pPr>
        <w:spacing w:after="0"/>
        <w:rPr>
          <w:rFonts w:cs="Arial"/>
        </w:rPr>
      </w:pPr>
      <w:r w:rsidRPr="00790708">
        <w:rPr>
          <w:rFonts w:cs="Arial"/>
        </w:rPr>
        <w:t>The proportion of the council</w:t>
      </w:r>
      <w:r>
        <w:rPr>
          <w:rFonts w:cs="Arial"/>
        </w:rPr>
        <w:t>'</w:t>
      </w:r>
      <w:r w:rsidRPr="00790708">
        <w:rPr>
          <w:rFonts w:cs="Arial"/>
        </w:rPr>
        <w:t>s</w:t>
      </w:r>
      <w:r>
        <w:rPr>
          <w:rFonts w:cs="Arial"/>
        </w:rPr>
        <w:t xml:space="preserve"> </w:t>
      </w:r>
      <w:r w:rsidRPr="00790708">
        <w:rPr>
          <w:rFonts w:cs="Arial"/>
        </w:rPr>
        <w:t>revenue budget spent on adult social care continues to increase and remains a massive challenge as a result of the ageing population and increasing demand, despite the receipt of non-recurrent grant funding and the application of the adult social care precept.  The other most significant area of concern is children's social care, which overspent last year despite a significant amount of growth built into the budget over the last two years reflecting the continued increasing demand for services.  This remains a key area of focus moving forward to track and determine whether, based on current demand, sufficient growth has now been built into the MTFS for 2018/19 and future years.</w:t>
      </w:r>
    </w:p>
    <w:p w:rsidR="00026737" w:rsidRPr="00790708" w:rsidRDefault="00A953D6" w:rsidP="00026737">
      <w:pPr>
        <w:spacing w:after="0"/>
        <w:rPr>
          <w:rFonts w:cs="Arial"/>
        </w:rPr>
      </w:pPr>
    </w:p>
    <w:p w:rsidR="00026737" w:rsidRPr="00FF233C" w:rsidRDefault="008A011B" w:rsidP="00026737">
      <w:pPr>
        <w:spacing w:after="0"/>
        <w:rPr>
          <w:rFonts w:cs="Arial"/>
        </w:rPr>
      </w:pPr>
      <w:r w:rsidRPr="00790708">
        <w:rPr>
          <w:rFonts w:cs="Arial"/>
        </w:rPr>
        <w:t>The remaining reserves are forecast to be insufficient to enable a balanced budget to be set by 2020/21, and therefore it is critical that further proposals are developed to address the funding gap.  This is an integral element of the operational plan with individual service challenges being undertaken along with reviewing the extent to which commercial activities can be maximised and grants and taxation income increased.</w:t>
      </w:r>
    </w:p>
    <w:p w:rsidR="00026737" w:rsidRPr="007C7D67" w:rsidRDefault="00A953D6">
      <w:pPr>
        <w:spacing w:after="0"/>
        <w:rPr>
          <w:rFonts w:cs="Arial"/>
          <w:b/>
        </w:rPr>
      </w:pPr>
    </w:p>
    <w:sectPr w:rsidR="00026737" w:rsidRPr="007C7D67" w:rsidSect="00026737">
      <w:pgSz w:w="11906" w:h="16838"/>
      <w:pgMar w:top="567" w:right="1361" w:bottom="567"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EA" w:rsidRDefault="008A011B">
      <w:pPr>
        <w:spacing w:after="0"/>
      </w:pPr>
      <w:r>
        <w:separator/>
      </w:r>
    </w:p>
  </w:endnote>
  <w:endnote w:type="continuationSeparator" w:id="0">
    <w:p w:rsidR="00F316EA" w:rsidRDefault="008A0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EE" w:rsidRPr="009200D1" w:rsidRDefault="008A011B">
    <w:pPr>
      <w:pStyle w:val="Footer"/>
      <w:rPr>
        <w:caps/>
        <w:noProof/>
        <w:color w:val="auto"/>
      </w:rPr>
    </w:pPr>
    <w:r w:rsidRPr="009200D1">
      <w:rPr>
        <w:caps/>
        <w:color w:val="auto"/>
      </w:rPr>
      <w:fldChar w:fldCharType="begin"/>
    </w:r>
    <w:r w:rsidRPr="009200D1">
      <w:rPr>
        <w:caps/>
        <w:color w:val="auto"/>
      </w:rPr>
      <w:instrText xml:space="preserve"> PAGE   \* MERGEFORMAT </w:instrText>
    </w:r>
    <w:r w:rsidRPr="009200D1">
      <w:rPr>
        <w:caps/>
        <w:color w:val="auto"/>
      </w:rPr>
      <w:fldChar w:fldCharType="separate"/>
    </w:r>
    <w:r w:rsidR="00A953D6">
      <w:rPr>
        <w:caps/>
        <w:noProof/>
        <w:color w:val="auto"/>
      </w:rPr>
      <w:t>36</w:t>
    </w:r>
    <w:r w:rsidRPr="009200D1">
      <w:rPr>
        <w:caps/>
        <w:noProof/>
        <w:color w:val="auto"/>
      </w:rPr>
      <w:fldChar w:fldCharType="end"/>
    </w:r>
  </w:p>
  <w:p w:rsidR="00317DEE" w:rsidRDefault="00A9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EA" w:rsidRDefault="008A011B">
      <w:pPr>
        <w:spacing w:after="0"/>
      </w:pPr>
      <w:r>
        <w:separator/>
      </w:r>
    </w:p>
  </w:footnote>
  <w:footnote w:type="continuationSeparator" w:id="0">
    <w:p w:rsidR="00F316EA" w:rsidRDefault="008A0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EE" w:rsidRDefault="008A011B">
    <w:pPr>
      <w:pStyle w:val="Header"/>
    </w:pPr>
    <w:r>
      <w:rPr>
        <w:noProof/>
        <w:lang w:eastAsia="en-GB"/>
      </w:rPr>
      <w:drawing>
        <wp:anchor distT="0" distB="0" distL="114300" distR="114300" simplePos="0" relativeHeight="251658240" behindDoc="1" locked="0" layoutInCell="1" allowOverlap="1">
          <wp:simplePos x="0" y="0"/>
          <wp:positionH relativeFrom="column">
            <wp:posOffset>-915035</wp:posOffset>
          </wp:positionH>
          <wp:positionV relativeFrom="paragraph">
            <wp:posOffset>-189230</wp:posOffset>
          </wp:positionV>
          <wp:extent cx="7548880" cy="6653530"/>
          <wp:effectExtent l="19050" t="0" r="0" b="0"/>
          <wp:wrapNone/>
          <wp:docPr id="6"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0644" name="Picture 12" descr="Inside1"/>
                  <pic:cNvPicPr>
                    <a:picLocks noChangeAspect="1" noChangeArrowheads="1"/>
                  </pic:cNvPicPr>
                </pic:nvPicPr>
                <pic:blipFill>
                  <a:blip r:embed="rId1"/>
                  <a:srcRect b="37526"/>
                  <a:stretch>
                    <a:fillRect/>
                  </a:stretch>
                </pic:blipFill>
                <pic:spPr bwMode="auto">
                  <a:xfrm>
                    <a:off x="0" y="0"/>
                    <a:ext cx="7548880" cy="66535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EE" w:rsidRDefault="008A011B" w:rsidP="00026737">
    <w:pPr>
      <w:pStyle w:val="Head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ragraph">
            <wp:posOffset>-488950</wp:posOffset>
          </wp:positionV>
          <wp:extent cx="7568565" cy="10720070"/>
          <wp:effectExtent l="0" t="0" r="0" b="5080"/>
          <wp:wrapNone/>
          <wp:docPr id="7"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9437" name="Picture 0" descr="Word Cover_Report.jpg"/>
                  <pic:cNvPicPr>
                    <a:picLocks noChangeAspect="1" noChangeArrowheads="1"/>
                  </pic:cNvPicPr>
                </pic:nvPicPr>
                <pic:blipFill>
                  <a:blip r:embed="rId1"/>
                  <a:stretch>
                    <a:fillRect/>
                  </a:stretch>
                </pic:blipFill>
                <pic:spPr bwMode="auto">
                  <a:xfrm>
                    <a:off x="0" y="0"/>
                    <a:ext cx="7568565" cy="10720070"/>
                  </a:xfrm>
                  <a:prstGeom prst="rect">
                    <a:avLst/>
                  </a:prstGeom>
                  <a:noFill/>
                  <a:ln w="9525">
                    <a:noFill/>
                    <a:miter lim="800000"/>
                    <a:headEnd/>
                    <a:tailEnd/>
                  </a:ln>
                </pic:spPr>
              </pic:pic>
            </a:graphicData>
          </a:graphic>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01F4FB9"/>
    <w:multiLevelType w:val="hybridMultilevel"/>
    <w:tmpl w:val="825CA2AA"/>
    <w:lvl w:ilvl="0" w:tplc="5796B046">
      <w:start w:val="1"/>
      <w:numFmt w:val="bullet"/>
      <w:lvlText w:val=""/>
      <w:lvlJc w:val="left"/>
      <w:pPr>
        <w:ind w:left="720" w:hanging="360"/>
      </w:pPr>
      <w:rPr>
        <w:rFonts w:ascii="Symbol" w:hAnsi="Symbol" w:hint="default"/>
      </w:rPr>
    </w:lvl>
    <w:lvl w:ilvl="1" w:tplc="0FB4C164" w:tentative="1">
      <w:start w:val="1"/>
      <w:numFmt w:val="bullet"/>
      <w:lvlText w:val="o"/>
      <w:lvlJc w:val="left"/>
      <w:pPr>
        <w:ind w:left="1440" w:hanging="360"/>
      </w:pPr>
      <w:rPr>
        <w:rFonts w:ascii="Courier New" w:hAnsi="Courier New" w:cs="Courier New" w:hint="default"/>
      </w:rPr>
    </w:lvl>
    <w:lvl w:ilvl="2" w:tplc="9EF24A76" w:tentative="1">
      <w:start w:val="1"/>
      <w:numFmt w:val="bullet"/>
      <w:lvlText w:val=""/>
      <w:lvlJc w:val="left"/>
      <w:pPr>
        <w:ind w:left="2160" w:hanging="360"/>
      </w:pPr>
      <w:rPr>
        <w:rFonts w:ascii="Wingdings" w:hAnsi="Wingdings" w:hint="default"/>
      </w:rPr>
    </w:lvl>
    <w:lvl w:ilvl="3" w:tplc="169835A8" w:tentative="1">
      <w:start w:val="1"/>
      <w:numFmt w:val="bullet"/>
      <w:lvlText w:val=""/>
      <w:lvlJc w:val="left"/>
      <w:pPr>
        <w:ind w:left="2880" w:hanging="360"/>
      </w:pPr>
      <w:rPr>
        <w:rFonts w:ascii="Symbol" w:hAnsi="Symbol" w:hint="default"/>
      </w:rPr>
    </w:lvl>
    <w:lvl w:ilvl="4" w:tplc="DA4E9F9E" w:tentative="1">
      <w:start w:val="1"/>
      <w:numFmt w:val="bullet"/>
      <w:lvlText w:val="o"/>
      <w:lvlJc w:val="left"/>
      <w:pPr>
        <w:ind w:left="3600" w:hanging="360"/>
      </w:pPr>
      <w:rPr>
        <w:rFonts w:ascii="Courier New" w:hAnsi="Courier New" w:cs="Courier New" w:hint="default"/>
      </w:rPr>
    </w:lvl>
    <w:lvl w:ilvl="5" w:tplc="F4C6D8EE" w:tentative="1">
      <w:start w:val="1"/>
      <w:numFmt w:val="bullet"/>
      <w:lvlText w:val=""/>
      <w:lvlJc w:val="left"/>
      <w:pPr>
        <w:ind w:left="4320" w:hanging="360"/>
      </w:pPr>
      <w:rPr>
        <w:rFonts w:ascii="Wingdings" w:hAnsi="Wingdings" w:hint="default"/>
      </w:rPr>
    </w:lvl>
    <w:lvl w:ilvl="6" w:tplc="A558A1DA" w:tentative="1">
      <w:start w:val="1"/>
      <w:numFmt w:val="bullet"/>
      <w:lvlText w:val=""/>
      <w:lvlJc w:val="left"/>
      <w:pPr>
        <w:ind w:left="5040" w:hanging="360"/>
      </w:pPr>
      <w:rPr>
        <w:rFonts w:ascii="Symbol" w:hAnsi="Symbol" w:hint="default"/>
      </w:rPr>
    </w:lvl>
    <w:lvl w:ilvl="7" w:tplc="C5C6C42E" w:tentative="1">
      <w:start w:val="1"/>
      <w:numFmt w:val="bullet"/>
      <w:lvlText w:val="o"/>
      <w:lvlJc w:val="left"/>
      <w:pPr>
        <w:ind w:left="5760" w:hanging="360"/>
      </w:pPr>
      <w:rPr>
        <w:rFonts w:ascii="Courier New" w:hAnsi="Courier New" w:cs="Courier New" w:hint="default"/>
      </w:rPr>
    </w:lvl>
    <w:lvl w:ilvl="8" w:tplc="C9E29A26" w:tentative="1">
      <w:start w:val="1"/>
      <w:numFmt w:val="bullet"/>
      <w:lvlText w:val=""/>
      <w:lvlJc w:val="left"/>
      <w:pPr>
        <w:ind w:left="6480" w:hanging="360"/>
      </w:pPr>
      <w:rPr>
        <w:rFonts w:ascii="Wingdings" w:hAnsi="Wingdings" w:hint="default"/>
      </w:rPr>
    </w:lvl>
  </w:abstractNum>
  <w:abstractNum w:abstractNumId="21" w15:restartNumberingAfterBreak="0">
    <w:nsid w:val="046B3798"/>
    <w:multiLevelType w:val="hybridMultilevel"/>
    <w:tmpl w:val="21BA3302"/>
    <w:lvl w:ilvl="0" w:tplc="0EECF394">
      <w:start w:val="1"/>
      <w:numFmt w:val="bullet"/>
      <w:lvlText w:val=""/>
      <w:lvlJc w:val="left"/>
      <w:pPr>
        <w:ind w:left="720" w:hanging="360"/>
      </w:pPr>
      <w:rPr>
        <w:rFonts w:ascii="Symbol" w:hAnsi="Symbol" w:hint="default"/>
      </w:rPr>
    </w:lvl>
    <w:lvl w:ilvl="1" w:tplc="39829EA8" w:tentative="1">
      <w:start w:val="1"/>
      <w:numFmt w:val="bullet"/>
      <w:lvlText w:val="o"/>
      <w:lvlJc w:val="left"/>
      <w:pPr>
        <w:ind w:left="1440" w:hanging="360"/>
      </w:pPr>
      <w:rPr>
        <w:rFonts w:ascii="Courier New" w:hAnsi="Courier New" w:cs="Courier New" w:hint="default"/>
      </w:rPr>
    </w:lvl>
    <w:lvl w:ilvl="2" w:tplc="02943C1E" w:tentative="1">
      <w:start w:val="1"/>
      <w:numFmt w:val="bullet"/>
      <w:lvlText w:val=""/>
      <w:lvlJc w:val="left"/>
      <w:pPr>
        <w:ind w:left="2160" w:hanging="360"/>
      </w:pPr>
      <w:rPr>
        <w:rFonts w:ascii="Wingdings" w:hAnsi="Wingdings" w:hint="default"/>
      </w:rPr>
    </w:lvl>
    <w:lvl w:ilvl="3" w:tplc="BF6C341A" w:tentative="1">
      <w:start w:val="1"/>
      <w:numFmt w:val="bullet"/>
      <w:lvlText w:val=""/>
      <w:lvlJc w:val="left"/>
      <w:pPr>
        <w:ind w:left="2880" w:hanging="360"/>
      </w:pPr>
      <w:rPr>
        <w:rFonts w:ascii="Symbol" w:hAnsi="Symbol" w:hint="default"/>
      </w:rPr>
    </w:lvl>
    <w:lvl w:ilvl="4" w:tplc="1EB0BCE6" w:tentative="1">
      <w:start w:val="1"/>
      <w:numFmt w:val="bullet"/>
      <w:lvlText w:val="o"/>
      <w:lvlJc w:val="left"/>
      <w:pPr>
        <w:ind w:left="3600" w:hanging="360"/>
      </w:pPr>
      <w:rPr>
        <w:rFonts w:ascii="Courier New" w:hAnsi="Courier New" w:cs="Courier New" w:hint="default"/>
      </w:rPr>
    </w:lvl>
    <w:lvl w:ilvl="5" w:tplc="69C410D2" w:tentative="1">
      <w:start w:val="1"/>
      <w:numFmt w:val="bullet"/>
      <w:lvlText w:val=""/>
      <w:lvlJc w:val="left"/>
      <w:pPr>
        <w:ind w:left="4320" w:hanging="360"/>
      </w:pPr>
      <w:rPr>
        <w:rFonts w:ascii="Wingdings" w:hAnsi="Wingdings" w:hint="default"/>
      </w:rPr>
    </w:lvl>
    <w:lvl w:ilvl="6" w:tplc="A56CA7DA" w:tentative="1">
      <w:start w:val="1"/>
      <w:numFmt w:val="bullet"/>
      <w:lvlText w:val=""/>
      <w:lvlJc w:val="left"/>
      <w:pPr>
        <w:ind w:left="5040" w:hanging="360"/>
      </w:pPr>
      <w:rPr>
        <w:rFonts w:ascii="Symbol" w:hAnsi="Symbol" w:hint="default"/>
      </w:rPr>
    </w:lvl>
    <w:lvl w:ilvl="7" w:tplc="F27037CE" w:tentative="1">
      <w:start w:val="1"/>
      <w:numFmt w:val="bullet"/>
      <w:lvlText w:val="o"/>
      <w:lvlJc w:val="left"/>
      <w:pPr>
        <w:ind w:left="5760" w:hanging="360"/>
      </w:pPr>
      <w:rPr>
        <w:rFonts w:ascii="Courier New" w:hAnsi="Courier New" w:cs="Courier New" w:hint="default"/>
      </w:rPr>
    </w:lvl>
    <w:lvl w:ilvl="8" w:tplc="39F251A6" w:tentative="1">
      <w:start w:val="1"/>
      <w:numFmt w:val="bullet"/>
      <w:lvlText w:val=""/>
      <w:lvlJc w:val="left"/>
      <w:pPr>
        <w:ind w:left="6480" w:hanging="360"/>
      </w:pPr>
      <w:rPr>
        <w:rFonts w:ascii="Wingdings" w:hAnsi="Wingdings" w:hint="default"/>
      </w:rPr>
    </w:lvl>
  </w:abstractNum>
  <w:abstractNum w:abstractNumId="22" w15:restartNumberingAfterBreak="0">
    <w:nsid w:val="07A45CAE"/>
    <w:multiLevelType w:val="hybridMultilevel"/>
    <w:tmpl w:val="1F602B86"/>
    <w:lvl w:ilvl="0" w:tplc="1D688E1A">
      <w:start w:val="1"/>
      <w:numFmt w:val="lowerLetter"/>
      <w:lvlText w:val="%1)"/>
      <w:lvlJc w:val="left"/>
      <w:pPr>
        <w:ind w:left="1080" w:hanging="360"/>
      </w:pPr>
      <w:rPr>
        <w:rFonts w:hint="default"/>
      </w:rPr>
    </w:lvl>
    <w:lvl w:ilvl="1" w:tplc="E5BE4986" w:tentative="1">
      <w:start w:val="1"/>
      <w:numFmt w:val="lowerLetter"/>
      <w:lvlText w:val="%2."/>
      <w:lvlJc w:val="left"/>
      <w:pPr>
        <w:ind w:left="1800" w:hanging="360"/>
      </w:pPr>
    </w:lvl>
    <w:lvl w:ilvl="2" w:tplc="257C4832" w:tentative="1">
      <w:start w:val="1"/>
      <w:numFmt w:val="lowerRoman"/>
      <w:lvlText w:val="%3."/>
      <w:lvlJc w:val="right"/>
      <w:pPr>
        <w:ind w:left="2520" w:hanging="180"/>
      </w:pPr>
    </w:lvl>
    <w:lvl w:ilvl="3" w:tplc="36443CB0" w:tentative="1">
      <w:start w:val="1"/>
      <w:numFmt w:val="decimal"/>
      <w:lvlText w:val="%4."/>
      <w:lvlJc w:val="left"/>
      <w:pPr>
        <w:ind w:left="3240" w:hanging="360"/>
      </w:pPr>
    </w:lvl>
    <w:lvl w:ilvl="4" w:tplc="931C0FAC" w:tentative="1">
      <w:start w:val="1"/>
      <w:numFmt w:val="lowerLetter"/>
      <w:lvlText w:val="%5."/>
      <w:lvlJc w:val="left"/>
      <w:pPr>
        <w:ind w:left="3960" w:hanging="360"/>
      </w:pPr>
    </w:lvl>
    <w:lvl w:ilvl="5" w:tplc="A454BA84" w:tentative="1">
      <w:start w:val="1"/>
      <w:numFmt w:val="lowerRoman"/>
      <w:lvlText w:val="%6."/>
      <w:lvlJc w:val="right"/>
      <w:pPr>
        <w:ind w:left="4680" w:hanging="180"/>
      </w:pPr>
    </w:lvl>
    <w:lvl w:ilvl="6" w:tplc="0E565ED4" w:tentative="1">
      <w:start w:val="1"/>
      <w:numFmt w:val="decimal"/>
      <w:lvlText w:val="%7."/>
      <w:lvlJc w:val="left"/>
      <w:pPr>
        <w:ind w:left="5400" w:hanging="360"/>
      </w:pPr>
    </w:lvl>
    <w:lvl w:ilvl="7" w:tplc="4BCC3B3C" w:tentative="1">
      <w:start w:val="1"/>
      <w:numFmt w:val="lowerLetter"/>
      <w:lvlText w:val="%8."/>
      <w:lvlJc w:val="left"/>
      <w:pPr>
        <w:ind w:left="6120" w:hanging="360"/>
      </w:pPr>
    </w:lvl>
    <w:lvl w:ilvl="8" w:tplc="F5C080E4" w:tentative="1">
      <w:start w:val="1"/>
      <w:numFmt w:val="lowerRoman"/>
      <w:lvlText w:val="%9."/>
      <w:lvlJc w:val="right"/>
      <w:pPr>
        <w:ind w:left="6840" w:hanging="180"/>
      </w:pPr>
    </w:lvl>
  </w:abstractNum>
  <w:abstractNum w:abstractNumId="23" w15:restartNumberingAfterBreak="0">
    <w:nsid w:val="09F24143"/>
    <w:multiLevelType w:val="multilevel"/>
    <w:tmpl w:val="FD3A5062"/>
    <w:lvl w:ilvl="0">
      <w:start w:val="5"/>
      <w:numFmt w:val="decimal"/>
      <w:lvlText w:val="%1."/>
      <w:lvlJc w:val="left"/>
      <w:pPr>
        <w:ind w:left="360" w:hanging="360"/>
      </w:pPr>
      <w:rPr>
        <w:sz w:val="24"/>
        <w:szCs w:val="24"/>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0A841B32"/>
    <w:multiLevelType w:val="hybridMultilevel"/>
    <w:tmpl w:val="726ADAD0"/>
    <w:lvl w:ilvl="0" w:tplc="F11C7536">
      <w:start w:val="1"/>
      <w:numFmt w:val="bullet"/>
      <w:lvlText w:val=""/>
      <w:lvlJc w:val="left"/>
      <w:pPr>
        <w:ind w:left="720" w:hanging="360"/>
      </w:pPr>
      <w:rPr>
        <w:rFonts w:ascii="Symbol" w:hAnsi="Symbol" w:hint="default"/>
      </w:rPr>
    </w:lvl>
    <w:lvl w:ilvl="1" w:tplc="0928A1DE">
      <w:start w:val="1"/>
      <w:numFmt w:val="bullet"/>
      <w:lvlText w:val="o"/>
      <w:lvlJc w:val="left"/>
      <w:pPr>
        <w:ind w:left="1440" w:hanging="360"/>
      </w:pPr>
      <w:rPr>
        <w:rFonts w:ascii="Courier New" w:hAnsi="Courier New" w:cs="Courier New" w:hint="default"/>
      </w:rPr>
    </w:lvl>
    <w:lvl w:ilvl="2" w:tplc="589E363E">
      <w:start w:val="1"/>
      <w:numFmt w:val="bullet"/>
      <w:lvlText w:val=""/>
      <w:lvlJc w:val="left"/>
      <w:pPr>
        <w:ind w:left="2160" w:hanging="360"/>
      </w:pPr>
      <w:rPr>
        <w:rFonts w:ascii="Wingdings" w:hAnsi="Wingdings" w:hint="default"/>
      </w:rPr>
    </w:lvl>
    <w:lvl w:ilvl="3" w:tplc="54C2E63C">
      <w:start w:val="1"/>
      <w:numFmt w:val="bullet"/>
      <w:lvlText w:val=""/>
      <w:lvlJc w:val="left"/>
      <w:pPr>
        <w:ind w:left="2880" w:hanging="360"/>
      </w:pPr>
      <w:rPr>
        <w:rFonts w:ascii="Symbol" w:hAnsi="Symbol" w:hint="default"/>
      </w:rPr>
    </w:lvl>
    <w:lvl w:ilvl="4" w:tplc="175ED8D8">
      <w:start w:val="1"/>
      <w:numFmt w:val="bullet"/>
      <w:lvlText w:val="o"/>
      <w:lvlJc w:val="left"/>
      <w:pPr>
        <w:ind w:left="3600" w:hanging="360"/>
      </w:pPr>
      <w:rPr>
        <w:rFonts w:ascii="Courier New" w:hAnsi="Courier New" w:cs="Courier New" w:hint="default"/>
      </w:rPr>
    </w:lvl>
    <w:lvl w:ilvl="5" w:tplc="74CC579A">
      <w:start w:val="1"/>
      <w:numFmt w:val="bullet"/>
      <w:lvlText w:val=""/>
      <w:lvlJc w:val="left"/>
      <w:pPr>
        <w:ind w:left="4320" w:hanging="360"/>
      </w:pPr>
      <w:rPr>
        <w:rFonts w:ascii="Wingdings" w:hAnsi="Wingdings" w:hint="default"/>
      </w:rPr>
    </w:lvl>
    <w:lvl w:ilvl="6" w:tplc="3704031E">
      <w:start w:val="1"/>
      <w:numFmt w:val="bullet"/>
      <w:lvlText w:val=""/>
      <w:lvlJc w:val="left"/>
      <w:pPr>
        <w:ind w:left="5040" w:hanging="360"/>
      </w:pPr>
      <w:rPr>
        <w:rFonts w:ascii="Symbol" w:hAnsi="Symbol" w:hint="default"/>
      </w:rPr>
    </w:lvl>
    <w:lvl w:ilvl="7" w:tplc="E4BED784">
      <w:start w:val="1"/>
      <w:numFmt w:val="bullet"/>
      <w:lvlText w:val="o"/>
      <w:lvlJc w:val="left"/>
      <w:pPr>
        <w:ind w:left="5760" w:hanging="360"/>
      </w:pPr>
      <w:rPr>
        <w:rFonts w:ascii="Courier New" w:hAnsi="Courier New" w:cs="Courier New" w:hint="default"/>
      </w:rPr>
    </w:lvl>
    <w:lvl w:ilvl="8" w:tplc="818EAF88">
      <w:start w:val="1"/>
      <w:numFmt w:val="bullet"/>
      <w:lvlText w:val=""/>
      <w:lvlJc w:val="left"/>
      <w:pPr>
        <w:ind w:left="6480" w:hanging="360"/>
      </w:pPr>
      <w:rPr>
        <w:rFonts w:ascii="Wingdings" w:hAnsi="Wingdings" w:hint="default"/>
      </w:rPr>
    </w:lvl>
  </w:abstractNum>
  <w:abstractNum w:abstractNumId="25" w15:restartNumberingAfterBreak="0">
    <w:nsid w:val="0FE32CDA"/>
    <w:multiLevelType w:val="hybridMultilevel"/>
    <w:tmpl w:val="C08E9C5E"/>
    <w:lvl w:ilvl="0" w:tplc="552E20BC">
      <w:start w:val="1"/>
      <w:numFmt w:val="bullet"/>
      <w:lvlText w:val=""/>
      <w:lvlJc w:val="left"/>
      <w:pPr>
        <w:ind w:left="360" w:hanging="360"/>
      </w:pPr>
      <w:rPr>
        <w:rFonts w:ascii="Symbol" w:hAnsi="Symbol" w:hint="default"/>
      </w:rPr>
    </w:lvl>
    <w:lvl w:ilvl="1" w:tplc="37785BE2" w:tentative="1">
      <w:start w:val="1"/>
      <w:numFmt w:val="bullet"/>
      <w:lvlText w:val="o"/>
      <w:lvlJc w:val="left"/>
      <w:pPr>
        <w:ind w:left="1080" w:hanging="360"/>
      </w:pPr>
      <w:rPr>
        <w:rFonts w:ascii="Courier New" w:hAnsi="Courier New" w:cs="Courier New" w:hint="default"/>
      </w:rPr>
    </w:lvl>
    <w:lvl w:ilvl="2" w:tplc="5BFA217E" w:tentative="1">
      <w:start w:val="1"/>
      <w:numFmt w:val="bullet"/>
      <w:lvlText w:val=""/>
      <w:lvlJc w:val="left"/>
      <w:pPr>
        <w:ind w:left="1800" w:hanging="360"/>
      </w:pPr>
      <w:rPr>
        <w:rFonts w:ascii="Wingdings" w:hAnsi="Wingdings" w:hint="default"/>
      </w:rPr>
    </w:lvl>
    <w:lvl w:ilvl="3" w:tplc="2000F86C" w:tentative="1">
      <w:start w:val="1"/>
      <w:numFmt w:val="bullet"/>
      <w:lvlText w:val=""/>
      <w:lvlJc w:val="left"/>
      <w:pPr>
        <w:ind w:left="2520" w:hanging="360"/>
      </w:pPr>
      <w:rPr>
        <w:rFonts w:ascii="Symbol" w:hAnsi="Symbol" w:hint="default"/>
      </w:rPr>
    </w:lvl>
    <w:lvl w:ilvl="4" w:tplc="E89C4A58" w:tentative="1">
      <w:start w:val="1"/>
      <w:numFmt w:val="bullet"/>
      <w:lvlText w:val="o"/>
      <w:lvlJc w:val="left"/>
      <w:pPr>
        <w:ind w:left="3240" w:hanging="360"/>
      </w:pPr>
      <w:rPr>
        <w:rFonts w:ascii="Courier New" w:hAnsi="Courier New" w:cs="Courier New" w:hint="default"/>
      </w:rPr>
    </w:lvl>
    <w:lvl w:ilvl="5" w:tplc="7BFE52A0" w:tentative="1">
      <w:start w:val="1"/>
      <w:numFmt w:val="bullet"/>
      <w:lvlText w:val=""/>
      <w:lvlJc w:val="left"/>
      <w:pPr>
        <w:ind w:left="3960" w:hanging="360"/>
      </w:pPr>
      <w:rPr>
        <w:rFonts w:ascii="Wingdings" w:hAnsi="Wingdings" w:hint="default"/>
      </w:rPr>
    </w:lvl>
    <w:lvl w:ilvl="6" w:tplc="4ACCCC5E" w:tentative="1">
      <w:start w:val="1"/>
      <w:numFmt w:val="bullet"/>
      <w:lvlText w:val=""/>
      <w:lvlJc w:val="left"/>
      <w:pPr>
        <w:ind w:left="4680" w:hanging="360"/>
      </w:pPr>
      <w:rPr>
        <w:rFonts w:ascii="Symbol" w:hAnsi="Symbol" w:hint="default"/>
      </w:rPr>
    </w:lvl>
    <w:lvl w:ilvl="7" w:tplc="ADA87F40" w:tentative="1">
      <w:start w:val="1"/>
      <w:numFmt w:val="bullet"/>
      <w:lvlText w:val="o"/>
      <w:lvlJc w:val="left"/>
      <w:pPr>
        <w:ind w:left="5400" w:hanging="360"/>
      </w:pPr>
      <w:rPr>
        <w:rFonts w:ascii="Courier New" w:hAnsi="Courier New" w:cs="Courier New" w:hint="default"/>
      </w:rPr>
    </w:lvl>
    <w:lvl w:ilvl="8" w:tplc="58BA4FF6" w:tentative="1">
      <w:start w:val="1"/>
      <w:numFmt w:val="bullet"/>
      <w:lvlText w:val=""/>
      <w:lvlJc w:val="left"/>
      <w:pPr>
        <w:ind w:left="6120" w:hanging="360"/>
      </w:pPr>
      <w:rPr>
        <w:rFonts w:ascii="Wingdings" w:hAnsi="Wingdings" w:hint="default"/>
      </w:rPr>
    </w:lvl>
  </w:abstractNum>
  <w:abstractNum w:abstractNumId="26" w15:restartNumberingAfterBreak="0">
    <w:nsid w:val="117858D0"/>
    <w:multiLevelType w:val="hybridMultilevel"/>
    <w:tmpl w:val="1F602B86"/>
    <w:lvl w:ilvl="0" w:tplc="15E8C762">
      <w:start w:val="1"/>
      <w:numFmt w:val="lowerLetter"/>
      <w:lvlText w:val="%1)"/>
      <w:lvlJc w:val="left"/>
      <w:pPr>
        <w:ind w:left="1080" w:hanging="360"/>
      </w:pPr>
      <w:rPr>
        <w:rFonts w:hint="default"/>
      </w:rPr>
    </w:lvl>
    <w:lvl w:ilvl="1" w:tplc="AA282C56" w:tentative="1">
      <w:start w:val="1"/>
      <w:numFmt w:val="lowerLetter"/>
      <w:lvlText w:val="%2."/>
      <w:lvlJc w:val="left"/>
      <w:pPr>
        <w:ind w:left="1800" w:hanging="360"/>
      </w:pPr>
    </w:lvl>
    <w:lvl w:ilvl="2" w:tplc="552280DA" w:tentative="1">
      <w:start w:val="1"/>
      <w:numFmt w:val="lowerRoman"/>
      <w:lvlText w:val="%3."/>
      <w:lvlJc w:val="right"/>
      <w:pPr>
        <w:ind w:left="2520" w:hanging="180"/>
      </w:pPr>
    </w:lvl>
    <w:lvl w:ilvl="3" w:tplc="89F4BFC0" w:tentative="1">
      <w:start w:val="1"/>
      <w:numFmt w:val="decimal"/>
      <w:lvlText w:val="%4."/>
      <w:lvlJc w:val="left"/>
      <w:pPr>
        <w:ind w:left="3240" w:hanging="360"/>
      </w:pPr>
    </w:lvl>
    <w:lvl w:ilvl="4" w:tplc="DA9A028A" w:tentative="1">
      <w:start w:val="1"/>
      <w:numFmt w:val="lowerLetter"/>
      <w:lvlText w:val="%5."/>
      <w:lvlJc w:val="left"/>
      <w:pPr>
        <w:ind w:left="3960" w:hanging="360"/>
      </w:pPr>
    </w:lvl>
    <w:lvl w:ilvl="5" w:tplc="DD40A150" w:tentative="1">
      <w:start w:val="1"/>
      <w:numFmt w:val="lowerRoman"/>
      <w:lvlText w:val="%6."/>
      <w:lvlJc w:val="right"/>
      <w:pPr>
        <w:ind w:left="4680" w:hanging="180"/>
      </w:pPr>
    </w:lvl>
    <w:lvl w:ilvl="6" w:tplc="05364C10" w:tentative="1">
      <w:start w:val="1"/>
      <w:numFmt w:val="decimal"/>
      <w:lvlText w:val="%7."/>
      <w:lvlJc w:val="left"/>
      <w:pPr>
        <w:ind w:left="5400" w:hanging="360"/>
      </w:pPr>
    </w:lvl>
    <w:lvl w:ilvl="7" w:tplc="57329108" w:tentative="1">
      <w:start w:val="1"/>
      <w:numFmt w:val="lowerLetter"/>
      <w:lvlText w:val="%8."/>
      <w:lvlJc w:val="left"/>
      <w:pPr>
        <w:ind w:left="6120" w:hanging="360"/>
      </w:pPr>
    </w:lvl>
    <w:lvl w:ilvl="8" w:tplc="6978BAF0" w:tentative="1">
      <w:start w:val="1"/>
      <w:numFmt w:val="lowerRoman"/>
      <w:lvlText w:val="%9."/>
      <w:lvlJc w:val="right"/>
      <w:pPr>
        <w:ind w:left="6840" w:hanging="180"/>
      </w:pPr>
    </w:lvl>
  </w:abstractNum>
  <w:abstractNum w:abstractNumId="27" w15:restartNumberingAfterBreak="0">
    <w:nsid w:val="1867698F"/>
    <w:multiLevelType w:val="hybridMultilevel"/>
    <w:tmpl w:val="E60E4486"/>
    <w:lvl w:ilvl="0" w:tplc="933A7FA2">
      <w:start w:val="1"/>
      <w:numFmt w:val="bullet"/>
      <w:lvlText w:val=""/>
      <w:lvlJc w:val="left"/>
      <w:pPr>
        <w:ind w:left="720" w:hanging="360"/>
      </w:pPr>
      <w:rPr>
        <w:rFonts w:ascii="Symbol" w:hAnsi="Symbol" w:hint="default"/>
      </w:rPr>
    </w:lvl>
    <w:lvl w:ilvl="1" w:tplc="0B62F1BA" w:tentative="1">
      <w:start w:val="1"/>
      <w:numFmt w:val="bullet"/>
      <w:lvlText w:val="o"/>
      <w:lvlJc w:val="left"/>
      <w:pPr>
        <w:ind w:left="1440" w:hanging="360"/>
      </w:pPr>
      <w:rPr>
        <w:rFonts w:ascii="Courier New" w:hAnsi="Courier New" w:cs="Courier New" w:hint="default"/>
      </w:rPr>
    </w:lvl>
    <w:lvl w:ilvl="2" w:tplc="F1EEE7F8" w:tentative="1">
      <w:start w:val="1"/>
      <w:numFmt w:val="bullet"/>
      <w:lvlText w:val=""/>
      <w:lvlJc w:val="left"/>
      <w:pPr>
        <w:ind w:left="2160" w:hanging="360"/>
      </w:pPr>
      <w:rPr>
        <w:rFonts w:ascii="Wingdings" w:hAnsi="Wingdings" w:hint="default"/>
      </w:rPr>
    </w:lvl>
    <w:lvl w:ilvl="3" w:tplc="AC0834CC" w:tentative="1">
      <w:start w:val="1"/>
      <w:numFmt w:val="bullet"/>
      <w:lvlText w:val=""/>
      <w:lvlJc w:val="left"/>
      <w:pPr>
        <w:ind w:left="2880" w:hanging="360"/>
      </w:pPr>
      <w:rPr>
        <w:rFonts w:ascii="Symbol" w:hAnsi="Symbol" w:hint="default"/>
      </w:rPr>
    </w:lvl>
    <w:lvl w:ilvl="4" w:tplc="0114C16E" w:tentative="1">
      <w:start w:val="1"/>
      <w:numFmt w:val="bullet"/>
      <w:lvlText w:val="o"/>
      <w:lvlJc w:val="left"/>
      <w:pPr>
        <w:ind w:left="3600" w:hanging="360"/>
      </w:pPr>
      <w:rPr>
        <w:rFonts w:ascii="Courier New" w:hAnsi="Courier New" w:cs="Courier New" w:hint="default"/>
      </w:rPr>
    </w:lvl>
    <w:lvl w:ilvl="5" w:tplc="2A8212C6" w:tentative="1">
      <w:start w:val="1"/>
      <w:numFmt w:val="bullet"/>
      <w:lvlText w:val=""/>
      <w:lvlJc w:val="left"/>
      <w:pPr>
        <w:ind w:left="4320" w:hanging="360"/>
      </w:pPr>
      <w:rPr>
        <w:rFonts w:ascii="Wingdings" w:hAnsi="Wingdings" w:hint="default"/>
      </w:rPr>
    </w:lvl>
    <w:lvl w:ilvl="6" w:tplc="BC94265E" w:tentative="1">
      <w:start w:val="1"/>
      <w:numFmt w:val="bullet"/>
      <w:lvlText w:val=""/>
      <w:lvlJc w:val="left"/>
      <w:pPr>
        <w:ind w:left="5040" w:hanging="360"/>
      </w:pPr>
      <w:rPr>
        <w:rFonts w:ascii="Symbol" w:hAnsi="Symbol" w:hint="default"/>
      </w:rPr>
    </w:lvl>
    <w:lvl w:ilvl="7" w:tplc="62025492" w:tentative="1">
      <w:start w:val="1"/>
      <w:numFmt w:val="bullet"/>
      <w:lvlText w:val="o"/>
      <w:lvlJc w:val="left"/>
      <w:pPr>
        <w:ind w:left="5760" w:hanging="360"/>
      </w:pPr>
      <w:rPr>
        <w:rFonts w:ascii="Courier New" w:hAnsi="Courier New" w:cs="Courier New" w:hint="default"/>
      </w:rPr>
    </w:lvl>
    <w:lvl w:ilvl="8" w:tplc="DBB8CF80" w:tentative="1">
      <w:start w:val="1"/>
      <w:numFmt w:val="bullet"/>
      <w:lvlText w:val=""/>
      <w:lvlJc w:val="left"/>
      <w:pPr>
        <w:ind w:left="6480" w:hanging="360"/>
      </w:pPr>
      <w:rPr>
        <w:rFonts w:ascii="Wingdings" w:hAnsi="Wingdings" w:hint="default"/>
      </w:rPr>
    </w:lvl>
  </w:abstractNum>
  <w:abstractNum w:abstractNumId="28" w15:restartNumberingAfterBreak="0">
    <w:nsid w:val="22DE4830"/>
    <w:multiLevelType w:val="hybridMultilevel"/>
    <w:tmpl w:val="47169274"/>
    <w:lvl w:ilvl="0" w:tplc="287472D0">
      <w:start w:val="1"/>
      <w:numFmt w:val="bullet"/>
      <w:lvlText w:val=""/>
      <w:lvlJc w:val="left"/>
      <w:pPr>
        <w:ind w:left="360" w:hanging="360"/>
      </w:pPr>
      <w:rPr>
        <w:rFonts w:ascii="Symbol" w:hAnsi="Symbol" w:hint="default"/>
      </w:rPr>
    </w:lvl>
    <w:lvl w:ilvl="1" w:tplc="2B188E28">
      <w:start w:val="1"/>
      <w:numFmt w:val="bullet"/>
      <w:lvlText w:val=""/>
      <w:lvlJc w:val="left"/>
      <w:pPr>
        <w:ind w:left="1080" w:hanging="360"/>
      </w:pPr>
      <w:rPr>
        <w:rFonts w:ascii="Symbol" w:hAnsi="Symbol" w:hint="default"/>
      </w:rPr>
    </w:lvl>
    <w:lvl w:ilvl="2" w:tplc="3BFCAF18" w:tentative="1">
      <w:start w:val="1"/>
      <w:numFmt w:val="bullet"/>
      <w:lvlText w:val=""/>
      <w:lvlJc w:val="left"/>
      <w:pPr>
        <w:ind w:left="1800" w:hanging="360"/>
      </w:pPr>
      <w:rPr>
        <w:rFonts w:ascii="Wingdings" w:hAnsi="Wingdings" w:hint="default"/>
      </w:rPr>
    </w:lvl>
    <w:lvl w:ilvl="3" w:tplc="A9B4F03C" w:tentative="1">
      <w:start w:val="1"/>
      <w:numFmt w:val="bullet"/>
      <w:lvlText w:val=""/>
      <w:lvlJc w:val="left"/>
      <w:pPr>
        <w:ind w:left="2520" w:hanging="360"/>
      </w:pPr>
      <w:rPr>
        <w:rFonts w:ascii="Symbol" w:hAnsi="Symbol" w:hint="default"/>
      </w:rPr>
    </w:lvl>
    <w:lvl w:ilvl="4" w:tplc="ED4C1ECC" w:tentative="1">
      <w:start w:val="1"/>
      <w:numFmt w:val="bullet"/>
      <w:lvlText w:val="o"/>
      <w:lvlJc w:val="left"/>
      <w:pPr>
        <w:ind w:left="3240" w:hanging="360"/>
      </w:pPr>
      <w:rPr>
        <w:rFonts w:ascii="Courier New" w:hAnsi="Courier New" w:cs="Courier New" w:hint="default"/>
      </w:rPr>
    </w:lvl>
    <w:lvl w:ilvl="5" w:tplc="F9224C32" w:tentative="1">
      <w:start w:val="1"/>
      <w:numFmt w:val="bullet"/>
      <w:lvlText w:val=""/>
      <w:lvlJc w:val="left"/>
      <w:pPr>
        <w:ind w:left="3960" w:hanging="360"/>
      </w:pPr>
      <w:rPr>
        <w:rFonts w:ascii="Wingdings" w:hAnsi="Wingdings" w:hint="default"/>
      </w:rPr>
    </w:lvl>
    <w:lvl w:ilvl="6" w:tplc="8928622A" w:tentative="1">
      <w:start w:val="1"/>
      <w:numFmt w:val="bullet"/>
      <w:lvlText w:val=""/>
      <w:lvlJc w:val="left"/>
      <w:pPr>
        <w:ind w:left="4680" w:hanging="360"/>
      </w:pPr>
      <w:rPr>
        <w:rFonts w:ascii="Symbol" w:hAnsi="Symbol" w:hint="default"/>
      </w:rPr>
    </w:lvl>
    <w:lvl w:ilvl="7" w:tplc="469640F8" w:tentative="1">
      <w:start w:val="1"/>
      <w:numFmt w:val="bullet"/>
      <w:lvlText w:val="o"/>
      <w:lvlJc w:val="left"/>
      <w:pPr>
        <w:ind w:left="5400" w:hanging="360"/>
      </w:pPr>
      <w:rPr>
        <w:rFonts w:ascii="Courier New" w:hAnsi="Courier New" w:cs="Courier New" w:hint="default"/>
      </w:rPr>
    </w:lvl>
    <w:lvl w:ilvl="8" w:tplc="D2A0EB4C" w:tentative="1">
      <w:start w:val="1"/>
      <w:numFmt w:val="bullet"/>
      <w:lvlText w:val=""/>
      <w:lvlJc w:val="left"/>
      <w:pPr>
        <w:ind w:left="6120" w:hanging="360"/>
      </w:pPr>
      <w:rPr>
        <w:rFonts w:ascii="Wingdings" w:hAnsi="Wingdings" w:hint="default"/>
      </w:rPr>
    </w:lvl>
  </w:abstractNum>
  <w:abstractNum w:abstractNumId="29" w15:restartNumberingAfterBreak="0">
    <w:nsid w:val="23954092"/>
    <w:multiLevelType w:val="hybridMultilevel"/>
    <w:tmpl w:val="FEA49838"/>
    <w:lvl w:ilvl="0" w:tplc="D28E2CEC">
      <w:numFmt w:val="bullet"/>
      <w:lvlText w:val="-"/>
      <w:lvlJc w:val="left"/>
      <w:pPr>
        <w:ind w:left="1080" w:hanging="360"/>
      </w:pPr>
      <w:rPr>
        <w:rFonts w:ascii="Arial" w:eastAsia="Calibri" w:hAnsi="Arial" w:cs="Arial" w:hint="default"/>
      </w:rPr>
    </w:lvl>
    <w:lvl w:ilvl="1" w:tplc="DAA44712" w:tentative="1">
      <w:start w:val="1"/>
      <w:numFmt w:val="bullet"/>
      <w:lvlText w:val="o"/>
      <w:lvlJc w:val="left"/>
      <w:pPr>
        <w:ind w:left="1800" w:hanging="360"/>
      </w:pPr>
      <w:rPr>
        <w:rFonts w:ascii="Courier New" w:hAnsi="Courier New" w:cs="Courier New" w:hint="default"/>
      </w:rPr>
    </w:lvl>
    <w:lvl w:ilvl="2" w:tplc="E47CE4EA" w:tentative="1">
      <w:start w:val="1"/>
      <w:numFmt w:val="bullet"/>
      <w:lvlText w:val=""/>
      <w:lvlJc w:val="left"/>
      <w:pPr>
        <w:ind w:left="2520" w:hanging="360"/>
      </w:pPr>
      <w:rPr>
        <w:rFonts w:ascii="Wingdings" w:hAnsi="Wingdings" w:hint="default"/>
      </w:rPr>
    </w:lvl>
    <w:lvl w:ilvl="3" w:tplc="AA9CD52A" w:tentative="1">
      <w:start w:val="1"/>
      <w:numFmt w:val="bullet"/>
      <w:lvlText w:val=""/>
      <w:lvlJc w:val="left"/>
      <w:pPr>
        <w:ind w:left="3240" w:hanging="360"/>
      </w:pPr>
      <w:rPr>
        <w:rFonts w:ascii="Symbol" w:hAnsi="Symbol" w:hint="default"/>
      </w:rPr>
    </w:lvl>
    <w:lvl w:ilvl="4" w:tplc="40F0C868" w:tentative="1">
      <w:start w:val="1"/>
      <w:numFmt w:val="bullet"/>
      <w:lvlText w:val="o"/>
      <w:lvlJc w:val="left"/>
      <w:pPr>
        <w:ind w:left="3960" w:hanging="360"/>
      </w:pPr>
      <w:rPr>
        <w:rFonts w:ascii="Courier New" w:hAnsi="Courier New" w:cs="Courier New" w:hint="default"/>
      </w:rPr>
    </w:lvl>
    <w:lvl w:ilvl="5" w:tplc="D6C0FB78" w:tentative="1">
      <w:start w:val="1"/>
      <w:numFmt w:val="bullet"/>
      <w:lvlText w:val=""/>
      <w:lvlJc w:val="left"/>
      <w:pPr>
        <w:ind w:left="4680" w:hanging="360"/>
      </w:pPr>
      <w:rPr>
        <w:rFonts w:ascii="Wingdings" w:hAnsi="Wingdings" w:hint="default"/>
      </w:rPr>
    </w:lvl>
    <w:lvl w:ilvl="6" w:tplc="B08CA200" w:tentative="1">
      <w:start w:val="1"/>
      <w:numFmt w:val="bullet"/>
      <w:lvlText w:val=""/>
      <w:lvlJc w:val="left"/>
      <w:pPr>
        <w:ind w:left="5400" w:hanging="360"/>
      </w:pPr>
      <w:rPr>
        <w:rFonts w:ascii="Symbol" w:hAnsi="Symbol" w:hint="default"/>
      </w:rPr>
    </w:lvl>
    <w:lvl w:ilvl="7" w:tplc="74C4E614" w:tentative="1">
      <w:start w:val="1"/>
      <w:numFmt w:val="bullet"/>
      <w:lvlText w:val="o"/>
      <w:lvlJc w:val="left"/>
      <w:pPr>
        <w:ind w:left="6120" w:hanging="360"/>
      </w:pPr>
      <w:rPr>
        <w:rFonts w:ascii="Courier New" w:hAnsi="Courier New" w:cs="Courier New" w:hint="default"/>
      </w:rPr>
    </w:lvl>
    <w:lvl w:ilvl="8" w:tplc="25A2389C" w:tentative="1">
      <w:start w:val="1"/>
      <w:numFmt w:val="bullet"/>
      <w:lvlText w:val=""/>
      <w:lvlJc w:val="left"/>
      <w:pPr>
        <w:ind w:left="6840" w:hanging="360"/>
      </w:pPr>
      <w:rPr>
        <w:rFonts w:ascii="Wingdings" w:hAnsi="Wingdings" w:hint="default"/>
      </w:rPr>
    </w:lvl>
  </w:abstractNum>
  <w:abstractNum w:abstractNumId="30" w15:restartNumberingAfterBreak="0">
    <w:nsid w:val="26AB3411"/>
    <w:multiLevelType w:val="hybridMultilevel"/>
    <w:tmpl w:val="691852CA"/>
    <w:lvl w:ilvl="0" w:tplc="18FAA874">
      <w:numFmt w:val="bullet"/>
      <w:lvlText w:val="-"/>
      <w:lvlJc w:val="left"/>
      <w:pPr>
        <w:ind w:left="720" w:hanging="360"/>
      </w:pPr>
      <w:rPr>
        <w:rFonts w:ascii="Arial" w:eastAsia="Times New Roman" w:hAnsi="Arial" w:cs="Arial" w:hint="default"/>
      </w:rPr>
    </w:lvl>
    <w:lvl w:ilvl="1" w:tplc="08DEAFE6" w:tentative="1">
      <w:start w:val="1"/>
      <w:numFmt w:val="bullet"/>
      <w:lvlText w:val="o"/>
      <w:lvlJc w:val="left"/>
      <w:pPr>
        <w:ind w:left="1440" w:hanging="360"/>
      </w:pPr>
      <w:rPr>
        <w:rFonts w:ascii="Courier New" w:hAnsi="Courier New" w:cs="Courier New" w:hint="default"/>
      </w:rPr>
    </w:lvl>
    <w:lvl w:ilvl="2" w:tplc="9E7A480A" w:tentative="1">
      <w:start w:val="1"/>
      <w:numFmt w:val="bullet"/>
      <w:lvlText w:val=""/>
      <w:lvlJc w:val="left"/>
      <w:pPr>
        <w:ind w:left="2160" w:hanging="360"/>
      </w:pPr>
      <w:rPr>
        <w:rFonts w:ascii="Wingdings" w:hAnsi="Wingdings" w:hint="default"/>
      </w:rPr>
    </w:lvl>
    <w:lvl w:ilvl="3" w:tplc="0590B278" w:tentative="1">
      <w:start w:val="1"/>
      <w:numFmt w:val="bullet"/>
      <w:lvlText w:val=""/>
      <w:lvlJc w:val="left"/>
      <w:pPr>
        <w:ind w:left="2880" w:hanging="360"/>
      </w:pPr>
      <w:rPr>
        <w:rFonts w:ascii="Symbol" w:hAnsi="Symbol" w:hint="default"/>
      </w:rPr>
    </w:lvl>
    <w:lvl w:ilvl="4" w:tplc="42E22B50" w:tentative="1">
      <w:start w:val="1"/>
      <w:numFmt w:val="bullet"/>
      <w:lvlText w:val="o"/>
      <w:lvlJc w:val="left"/>
      <w:pPr>
        <w:ind w:left="3600" w:hanging="360"/>
      </w:pPr>
      <w:rPr>
        <w:rFonts w:ascii="Courier New" w:hAnsi="Courier New" w:cs="Courier New" w:hint="default"/>
      </w:rPr>
    </w:lvl>
    <w:lvl w:ilvl="5" w:tplc="E38E4452" w:tentative="1">
      <w:start w:val="1"/>
      <w:numFmt w:val="bullet"/>
      <w:lvlText w:val=""/>
      <w:lvlJc w:val="left"/>
      <w:pPr>
        <w:ind w:left="4320" w:hanging="360"/>
      </w:pPr>
      <w:rPr>
        <w:rFonts w:ascii="Wingdings" w:hAnsi="Wingdings" w:hint="default"/>
      </w:rPr>
    </w:lvl>
    <w:lvl w:ilvl="6" w:tplc="6DE0A2BC" w:tentative="1">
      <w:start w:val="1"/>
      <w:numFmt w:val="bullet"/>
      <w:lvlText w:val=""/>
      <w:lvlJc w:val="left"/>
      <w:pPr>
        <w:ind w:left="5040" w:hanging="360"/>
      </w:pPr>
      <w:rPr>
        <w:rFonts w:ascii="Symbol" w:hAnsi="Symbol" w:hint="default"/>
      </w:rPr>
    </w:lvl>
    <w:lvl w:ilvl="7" w:tplc="9EFA7ACA" w:tentative="1">
      <w:start w:val="1"/>
      <w:numFmt w:val="bullet"/>
      <w:lvlText w:val="o"/>
      <w:lvlJc w:val="left"/>
      <w:pPr>
        <w:ind w:left="5760" w:hanging="360"/>
      </w:pPr>
      <w:rPr>
        <w:rFonts w:ascii="Courier New" w:hAnsi="Courier New" w:cs="Courier New" w:hint="default"/>
      </w:rPr>
    </w:lvl>
    <w:lvl w:ilvl="8" w:tplc="13DC522A" w:tentative="1">
      <w:start w:val="1"/>
      <w:numFmt w:val="bullet"/>
      <w:lvlText w:val=""/>
      <w:lvlJc w:val="left"/>
      <w:pPr>
        <w:ind w:left="6480" w:hanging="360"/>
      </w:pPr>
      <w:rPr>
        <w:rFonts w:ascii="Wingdings" w:hAnsi="Wingdings" w:hint="default"/>
      </w:rPr>
    </w:lvl>
  </w:abstractNum>
  <w:abstractNum w:abstractNumId="31" w15:restartNumberingAfterBreak="0">
    <w:nsid w:val="26AF332E"/>
    <w:multiLevelType w:val="hybridMultilevel"/>
    <w:tmpl w:val="A718CD5C"/>
    <w:lvl w:ilvl="0" w:tplc="734246AE">
      <w:start w:val="1"/>
      <w:numFmt w:val="bullet"/>
      <w:lvlText w:val=""/>
      <w:lvlJc w:val="left"/>
      <w:pPr>
        <w:ind w:left="720" w:hanging="360"/>
      </w:pPr>
      <w:rPr>
        <w:rFonts w:ascii="Symbol" w:hAnsi="Symbol" w:hint="default"/>
      </w:rPr>
    </w:lvl>
    <w:lvl w:ilvl="1" w:tplc="169263D6" w:tentative="1">
      <w:start w:val="1"/>
      <w:numFmt w:val="bullet"/>
      <w:lvlText w:val="o"/>
      <w:lvlJc w:val="left"/>
      <w:pPr>
        <w:ind w:left="1440" w:hanging="360"/>
      </w:pPr>
      <w:rPr>
        <w:rFonts w:ascii="Courier New" w:hAnsi="Courier New" w:cs="Courier New" w:hint="default"/>
      </w:rPr>
    </w:lvl>
    <w:lvl w:ilvl="2" w:tplc="8DFC6CB2" w:tentative="1">
      <w:start w:val="1"/>
      <w:numFmt w:val="bullet"/>
      <w:lvlText w:val=""/>
      <w:lvlJc w:val="left"/>
      <w:pPr>
        <w:ind w:left="2160" w:hanging="360"/>
      </w:pPr>
      <w:rPr>
        <w:rFonts w:ascii="Wingdings" w:hAnsi="Wingdings" w:hint="default"/>
      </w:rPr>
    </w:lvl>
    <w:lvl w:ilvl="3" w:tplc="69848F4E" w:tentative="1">
      <w:start w:val="1"/>
      <w:numFmt w:val="bullet"/>
      <w:lvlText w:val=""/>
      <w:lvlJc w:val="left"/>
      <w:pPr>
        <w:ind w:left="2880" w:hanging="360"/>
      </w:pPr>
      <w:rPr>
        <w:rFonts w:ascii="Symbol" w:hAnsi="Symbol" w:hint="default"/>
      </w:rPr>
    </w:lvl>
    <w:lvl w:ilvl="4" w:tplc="07D01720" w:tentative="1">
      <w:start w:val="1"/>
      <w:numFmt w:val="bullet"/>
      <w:lvlText w:val="o"/>
      <w:lvlJc w:val="left"/>
      <w:pPr>
        <w:ind w:left="3600" w:hanging="360"/>
      </w:pPr>
      <w:rPr>
        <w:rFonts w:ascii="Courier New" w:hAnsi="Courier New" w:cs="Courier New" w:hint="default"/>
      </w:rPr>
    </w:lvl>
    <w:lvl w:ilvl="5" w:tplc="8E8C06D4" w:tentative="1">
      <w:start w:val="1"/>
      <w:numFmt w:val="bullet"/>
      <w:lvlText w:val=""/>
      <w:lvlJc w:val="left"/>
      <w:pPr>
        <w:ind w:left="4320" w:hanging="360"/>
      </w:pPr>
      <w:rPr>
        <w:rFonts w:ascii="Wingdings" w:hAnsi="Wingdings" w:hint="default"/>
      </w:rPr>
    </w:lvl>
    <w:lvl w:ilvl="6" w:tplc="62F4BAE2" w:tentative="1">
      <w:start w:val="1"/>
      <w:numFmt w:val="bullet"/>
      <w:lvlText w:val=""/>
      <w:lvlJc w:val="left"/>
      <w:pPr>
        <w:ind w:left="5040" w:hanging="360"/>
      </w:pPr>
      <w:rPr>
        <w:rFonts w:ascii="Symbol" w:hAnsi="Symbol" w:hint="default"/>
      </w:rPr>
    </w:lvl>
    <w:lvl w:ilvl="7" w:tplc="F61C5884" w:tentative="1">
      <w:start w:val="1"/>
      <w:numFmt w:val="bullet"/>
      <w:lvlText w:val="o"/>
      <w:lvlJc w:val="left"/>
      <w:pPr>
        <w:ind w:left="5760" w:hanging="360"/>
      </w:pPr>
      <w:rPr>
        <w:rFonts w:ascii="Courier New" w:hAnsi="Courier New" w:cs="Courier New" w:hint="default"/>
      </w:rPr>
    </w:lvl>
    <w:lvl w:ilvl="8" w:tplc="238AEC6A" w:tentative="1">
      <w:start w:val="1"/>
      <w:numFmt w:val="bullet"/>
      <w:lvlText w:val=""/>
      <w:lvlJc w:val="left"/>
      <w:pPr>
        <w:ind w:left="6480" w:hanging="360"/>
      </w:pPr>
      <w:rPr>
        <w:rFonts w:ascii="Wingdings" w:hAnsi="Wingdings" w:hint="default"/>
      </w:rPr>
    </w:lvl>
  </w:abstractNum>
  <w:abstractNum w:abstractNumId="32" w15:restartNumberingAfterBreak="0">
    <w:nsid w:val="30624B96"/>
    <w:multiLevelType w:val="hybridMultilevel"/>
    <w:tmpl w:val="C1046AAC"/>
    <w:lvl w:ilvl="0" w:tplc="575A7B54">
      <w:start w:val="1"/>
      <w:numFmt w:val="decimal"/>
      <w:lvlText w:val="%1."/>
      <w:lvlJc w:val="left"/>
      <w:pPr>
        <w:ind w:left="720" w:hanging="360"/>
      </w:pPr>
      <w:rPr>
        <w:rFonts w:hint="default"/>
      </w:rPr>
    </w:lvl>
    <w:lvl w:ilvl="1" w:tplc="C97C30D8" w:tentative="1">
      <w:start w:val="1"/>
      <w:numFmt w:val="lowerLetter"/>
      <w:lvlText w:val="%2."/>
      <w:lvlJc w:val="left"/>
      <w:pPr>
        <w:ind w:left="1440" w:hanging="360"/>
      </w:pPr>
    </w:lvl>
    <w:lvl w:ilvl="2" w:tplc="30185136" w:tentative="1">
      <w:start w:val="1"/>
      <w:numFmt w:val="lowerRoman"/>
      <w:lvlText w:val="%3."/>
      <w:lvlJc w:val="right"/>
      <w:pPr>
        <w:ind w:left="2160" w:hanging="180"/>
      </w:pPr>
    </w:lvl>
    <w:lvl w:ilvl="3" w:tplc="E53A97CA" w:tentative="1">
      <w:start w:val="1"/>
      <w:numFmt w:val="decimal"/>
      <w:lvlText w:val="%4."/>
      <w:lvlJc w:val="left"/>
      <w:pPr>
        <w:ind w:left="2880" w:hanging="360"/>
      </w:pPr>
    </w:lvl>
    <w:lvl w:ilvl="4" w:tplc="B492D086" w:tentative="1">
      <w:start w:val="1"/>
      <w:numFmt w:val="lowerLetter"/>
      <w:lvlText w:val="%5."/>
      <w:lvlJc w:val="left"/>
      <w:pPr>
        <w:ind w:left="3600" w:hanging="360"/>
      </w:pPr>
    </w:lvl>
    <w:lvl w:ilvl="5" w:tplc="635E90EA" w:tentative="1">
      <w:start w:val="1"/>
      <w:numFmt w:val="lowerRoman"/>
      <w:lvlText w:val="%6."/>
      <w:lvlJc w:val="right"/>
      <w:pPr>
        <w:ind w:left="4320" w:hanging="180"/>
      </w:pPr>
    </w:lvl>
    <w:lvl w:ilvl="6" w:tplc="FA08CC3A" w:tentative="1">
      <w:start w:val="1"/>
      <w:numFmt w:val="decimal"/>
      <w:lvlText w:val="%7."/>
      <w:lvlJc w:val="left"/>
      <w:pPr>
        <w:ind w:left="5040" w:hanging="360"/>
      </w:pPr>
    </w:lvl>
    <w:lvl w:ilvl="7" w:tplc="7992344C" w:tentative="1">
      <w:start w:val="1"/>
      <w:numFmt w:val="lowerLetter"/>
      <w:lvlText w:val="%8."/>
      <w:lvlJc w:val="left"/>
      <w:pPr>
        <w:ind w:left="5760" w:hanging="360"/>
      </w:pPr>
    </w:lvl>
    <w:lvl w:ilvl="8" w:tplc="B748BAAE" w:tentative="1">
      <w:start w:val="1"/>
      <w:numFmt w:val="lowerRoman"/>
      <w:lvlText w:val="%9."/>
      <w:lvlJc w:val="right"/>
      <w:pPr>
        <w:ind w:left="6480" w:hanging="180"/>
      </w:pPr>
    </w:lvl>
  </w:abstractNum>
  <w:abstractNum w:abstractNumId="33" w15:restartNumberingAfterBreak="0">
    <w:nsid w:val="32DE378D"/>
    <w:multiLevelType w:val="hybridMultilevel"/>
    <w:tmpl w:val="669255CA"/>
    <w:lvl w:ilvl="0" w:tplc="5BD2010E">
      <w:start w:val="1"/>
      <w:numFmt w:val="bullet"/>
      <w:pStyle w:val="Bullet"/>
      <w:lvlText w:val=""/>
      <w:lvlJc w:val="left"/>
      <w:pPr>
        <w:ind w:left="363" w:hanging="360"/>
      </w:pPr>
      <w:rPr>
        <w:rFonts w:ascii="Symbol" w:hAnsi="Symbol" w:hint="default"/>
      </w:rPr>
    </w:lvl>
    <w:lvl w:ilvl="1" w:tplc="E10418DE">
      <w:start w:val="1"/>
      <w:numFmt w:val="bullet"/>
      <w:pStyle w:val="Bullet-indent"/>
      <w:lvlText w:val="o"/>
      <w:lvlJc w:val="left"/>
      <w:pPr>
        <w:ind w:left="1083" w:hanging="360"/>
      </w:pPr>
      <w:rPr>
        <w:rFonts w:ascii="Courier New" w:hAnsi="Courier New" w:cs="Courier New" w:hint="default"/>
      </w:rPr>
    </w:lvl>
    <w:lvl w:ilvl="2" w:tplc="3E581414" w:tentative="1">
      <w:start w:val="1"/>
      <w:numFmt w:val="bullet"/>
      <w:lvlText w:val=""/>
      <w:lvlJc w:val="left"/>
      <w:pPr>
        <w:ind w:left="1803" w:hanging="360"/>
      </w:pPr>
      <w:rPr>
        <w:rFonts w:ascii="Wingdings" w:hAnsi="Wingdings" w:hint="default"/>
      </w:rPr>
    </w:lvl>
    <w:lvl w:ilvl="3" w:tplc="A64E66AE" w:tentative="1">
      <w:start w:val="1"/>
      <w:numFmt w:val="bullet"/>
      <w:lvlText w:val=""/>
      <w:lvlJc w:val="left"/>
      <w:pPr>
        <w:ind w:left="2523" w:hanging="360"/>
      </w:pPr>
      <w:rPr>
        <w:rFonts w:ascii="Symbol" w:hAnsi="Symbol" w:hint="default"/>
      </w:rPr>
    </w:lvl>
    <w:lvl w:ilvl="4" w:tplc="8214DAC0" w:tentative="1">
      <w:start w:val="1"/>
      <w:numFmt w:val="bullet"/>
      <w:lvlText w:val="o"/>
      <w:lvlJc w:val="left"/>
      <w:pPr>
        <w:ind w:left="3243" w:hanging="360"/>
      </w:pPr>
      <w:rPr>
        <w:rFonts w:ascii="Courier New" w:hAnsi="Courier New" w:cs="Courier New" w:hint="default"/>
      </w:rPr>
    </w:lvl>
    <w:lvl w:ilvl="5" w:tplc="BBAE8464" w:tentative="1">
      <w:start w:val="1"/>
      <w:numFmt w:val="bullet"/>
      <w:lvlText w:val=""/>
      <w:lvlJc w:val="left"/>
      <w:pPr>
        <w:ind w:left="3963" w:hanging="360"/>
      </w:pPr>
      <w:rPr>
        <w:rFonts w:ascii="Wingdings" w:hAnsi="Wingdings" w:hint="default"/>
      </w:rPr>
    </w:lvl>
    <w:lvl w:ilvl="6" w:tplc="5ACEFC08" w:tentative="1">
      <w:start w:val="1"/>
      <w:numFmt w:val="bullet"/>
      <w:lvlText w:val=""/>
      <w:lvlJc w:val="left"/>
      <w:pPr>
        <w:ind w:left="4683" w:hanging="360"/>
      </w:pPr>
      <w:rPr>
        <w:rFonts w:ascii="Symbol" w:hAnsi="Symbol" w:hint="default"/>
      </w:rPr>
    </w:lvl>
    <w:lvl w:ilvl="7" w:tplc="8C32E476" w:tentative="1">
      <w:start w:val="1"/>
      <w:numFmt w:val="bullet"/>
      <w:lvlText w:val="o"/>
      <w:lvlJc w:val="left"/>
      <w:pPr>
        <w:ind w:left="5403" w:hanging="360"/>
      </w:pPr>
      <w:rPr>
        <w:rFonts w:ascii="Courier New" w:hAnsi="Courier New" w:cs="Courier New" w:hint="default"/>
      </w:rPr>
    </w:lvl>
    <w:lvl w:ilvl="8" w:tplc="3634B1B6" w:tentative="1">
      <w:start w:val="1"/>
      <w:numFmt w:val="bullet"/>
      <w:lvlText w:val=""/>
      <w:lvlJc w:val="left"/>
      <w:pPr>
        <w:ind w:left="6123" w:hanging="360"/>
      </w:pPr>
      <w:rPr>
        <w:rFonts w:ascii="Wingdings" w:hAnsi="Wingdings" w:hint="default"/>
      </w:rPr>
    </w:lvl>
  </w:abstractNum>
  <w:abstractNum w:abstractNumId="34" w15:restartNumberingAfterBreak="0">
    <w:nsid w:val="3A0E6665"/>
    <w:multiLevelType w:val="hybridMultilevel"/>
    <w:tmpl w:val="67C429B2"/>
    <w:lvl w:ilvl="0" w:tplc="81400156">
      <w:start w:val="1"/>
      <w:numFmt w:val="bullet"/>
      <w:lvlText w:val=""/>
      <w:lvlJc w:val="left"/>
      <w:pPr>
        <w:ind w:left="720" w:hanging="360"/>
      </w:pPr>
      <w:rPr>
        <w:rFonts w:ascii="Symbol" w:hAnsi="Symbol" w:hint="default"/>
      </w:rPr>
    </w:lvl>
    <w:lvl w:ilvl="1" w:tplc="79CE478C" w:tentative="1">
      <w:start w:val="1"/>
      <w:numFmt w:val="bullet"/>
      <w:lvlText w:val="o"/>
      <w:lvlJc w:val="left"/>
      <w:pPr>
        <w:ind w:left="1440" w:hanging="360"/>
      </w:pPr>
      <w:rPr>
        <w:rFonts w:ascii="Courier New" w:hAnsi="Courier New" w:cs="Courier New" w:hint="default"/>
      </w:rPr>
    </w:lvl>
    <w:lvl w:ilvl="2" w:tplc="346C6AF8" w:tentative="1">
      <w:start w:val="1"/>
      <w:numFmt w:val="bullet"/>
      <w:lvlText w:val=""/>
      <w:lvlJc w:val="left"/>
      <w:pPr>
        <w:ind w:left="2160" w:hanging="360"/>
      </w:pPr>
      <w:rPr>
        <w:rFonts w:ascii="Wingdings" w:hAnsi="Wingdings" w:hint="default"/>
      </w:rPr>
    </w:lvl>
    <w:lvl w:ilvl="3" w:tplc="227C7BF8" w:tentative="1">
      <w:start w:val="1"/>
      <w:numFmt w:val="bullet"/>
      <w:lvlText w:val=""/>
      <w:lvlJc w:val="left"/>
      <w:pPr>
        <w:ind w:left="2880" w:hanging="360"/>
      </w:pPr>
      <w:rPr>
        <w:rFonts w:ascii="Symbol" w:hAnsi="Symbol" w:hint="default"/>
      </w:rPr>
    </w:lvl>
    <w:lvl w:ilvl="4" w:tplc="57A26E0E" w:tentative="1">
      <w:start w:val="1"/>
      <w:numFmt w:val="bullet"/>
      <w:lvlText w:val="o"/>
      <w:lvlJc w:val="left"/>
      <w:pPr>
        <w:ind w:left="3600" w:hanging="360"/>
      </w:pPr>
      <w:rPr>
        <w:rFonts w:ascii="Courier New" w:hAnsi="Courier New" w:cs="Courier New" w:hint="default"/>
      </w:rPr>
    </w:lvl>
    <w:lvl w:ilvl="5" w:tplc="6B586672" w:tentative="1">
      <w:start w:val="1"/>
      <w:numFmt w:val="bullet"/>
      <w:lvlText w:val=""/>
      <w:lvlJc w:val="left"/>
      <w:pPr>
        <w:ind w:left="4320" w:hanging="360"/>
      </w:pPr>
      <w:rPr>
        <w:rFonts w:ascii="Wingdings" w:hAnsi="Wingdings" w:hint="default"/>
      </w:rPr>
    </w:lvl>
    <w:lvl w:ilvl="6" w:tplc="ADF87D2A" w:tentative="1">
      <w:start w:val="1"/>
      <w:numFmt w:val="bullet"/>
      <w:lvlText w:val=""/>
      <w:lvlJc w:val="left"/>
      <w:pPr>
        <w:ind w:left="5040" w:hanging="360"/>
      </w:pPr>
      <w:rPr>
        <w:rFonts w:ascii="Symbol" w:hAnsi="Symbol" w:hint="default"/>
      </w:rPr>
    </w:lvl>
    <w:lvl w:ilvl="7" w:tplc="299C9AE6" w:tentative="1">
      <w:start w:val="1"/>
      <w:numFmt w:val="bullet"/>
      <w:lvlText w:val="o"/>
      <w:lvlJc w:val="left"/>
      <w:pPr>
        <w:ind w:left="5760" w:hanging="360"/>
      </w:pPr>
      <w:rPr>
        <w:rFonts w:ascii="Courier New" w:hAnsi="Courier New" w:cs="Courier New" w:hint="default"/>
      </w:rPr>
    </w:lvl>
    <w:lvl w:ilvl="8" w:tplc="D98A0B5A" w:tentative="1">
      <w:start w:val="1"/>
      <w:numFmt w:val="bullet"/>
      <w:lvlText w:val=""/>
      <w:lvlJc w:val="left"/>
      <w:pPr>
        <w:ind w:left="6480" w:hanging="360"/>
      </w:pPr>
      <w:rPr>
        <w:rFonts w:ascii="Wingdings" w:hAnsi="Wingdings" w:hint="default"/>
      </w:rPr>
    </w:lvl>
  </w:abstractNum>
  <w:abstractNum w:abstractNumId="35" w15:restartNumberingAfterBreak="0">
    <w:nsid w:val="3BF139AF"/>
    <w:multiLevelType w:val="hybridMultilevel"/>
    <w:tmpl w:val="7A0C7B6C"/>
    <w:lvl w:ilvl="0" w:tplc="7616BDF4">
      <w:start w:val="1"/>
      <w:numFmt w:val="bullet"/>
      <w:lvlText w:val=""/>
      <w:lvlJc w:val="left"/>
      <w:pPr>
        <w:ind w:left="720" w:hanging="360"/>
      </w:pPr>
      <w:rPr>
        <w:rFonts w:ascii="Symbol" w:hAnsi="Symbol" w:hint="default"/>
      </w:rPr>
    </w:lvl>
    <w:lvl w:ilvl="1" w:tplc="F3AA8992" w:tentative="1">
      <w:start w:val="1"/>
      <w:numFmt w:val="bullet"/>
      <w:lvlText w:val="o"/>
      <w:lvlJc w:val="left"/>
      <w:pPr>
        <w:ind w:left="1440" w:hanging="360"/>
      </w:pPr>
      <w:rPr>
        <w:rFonts w:ascii="Courier New" w:hAnsi="Courier New" w:cs="Courier New" w:hint="default"/>
      </w:rPr>
    </w:lvl>
    <w:lvl w:ilvl="2" w:tplc="0E701F9A" w:tentative="1">
      <w:start w:val="1"/>
      <w:numFmt w:val="bullet"/>
      <w:lvlText w:val=""/>
      <w:lvlJc w:val="left"/>
      <w:pPr>
        <w:ind w:left="2160" w:hanging="360"/>
      </w:pPr>
      <w:rPr>
        <w:rFonts w:ascii="Wingdings" w:hAnsi="Wingdings" w:hint="default"/>
      </w:rPr>
    </w:lvl>
    <w:lvl w:ilvl="3" w:tplc="ACA23278" w:tentative="1">
      <w:start w:val="1"/>
      <w:numFmt w:val="bullet"/>
      <w:lvlText w:val=""/>
      <w:lvlJc w:val="left"/>
      <w:pPr>
        <w:ind w:left="2880" w:hanging="360"/>
      </w:pPr>
      <w:rPr>
        <w:rFonts w:ascii="Symbol" w:hAnsi="Symbol" w:hint="default"/>
      </w:rPr>
    </w:lvl>
    <w:lvl w:ilvl="4" w:tplc="9E6E4E76" w:tentative="1">
      <w:start w:val="1"/>
      <w:numFmt w:val="bullet"/>
      <w:lvlText w:val="o"/>
      <w:lvlJc w:val="left"/>
      <w:pPr>
        <w:ind w:left="3600" w:hanging="360"/>
      </w:pPr>
      <w:rPr>
        <w:rFonts w:ascii="Courier New" w:hAnsi="Courier New" w:cs="Courier New" w:hint="default"/>
      </w:rPr>
    </w:lvl>
    <w:lvl w:ilvl="5" w:tplc="5C8013F8" w:tentative="1">
      <w:start w:val="1"/>
      <w:numFmt w:val="bullet"/>
      <w:lvlText w:val=""/>
      <w:lvlJc w:val="left"/>
      <w:pPr>
        <w:ind w:left="4320" w:hanging="360"/>
      </w:pPr>
      <w:rPr>
        <w:rFonts w:ascii="Wingdings" w:hAnsi="Wingdings" w:hint="default"/>
      </w:rPr>
    </w:lvl>
    <w:lvl w:ilvl="6" w:tplc="6400B6C4" w:tentative="1">
      <w:start w:val="1"/>
      <w:numFmt w:val="bullet"/>
      <w:lvlText w:val=""/>
      <w:lvlJc w:val="left"/>
      <w:pPr>
        <w:ind w:left="5040" w:hanging="360"/>
      </w:pPr>
      <w:rPr>
        <w:rFonts w:ascii="Symbol" w:hAnsi="Symbol" w:hint="default"/>
      </w:rPr>
    </w:lvl>
    <w:lvl w:ilvl="7" w:tplc="F588F714" w:tentative="1">
      <w:start w:val="1"/>
      <w:numFmt w:val="bullet"/>
      <w:lvlText w:val="o"/>
      <w:lvlJc w:val="left"/>
      <w:pPr>
        <w:ind w:left="5760" w:hanging="360"/>
      </w:pPr>
      <w:rPr>
        <w:rFonts w:ascii="Courier New" w:hAnsi="Courier New" w:cs="Courier New" w:hint="default"/>
      </w:rPr>
    </w:lvl>
    <w:lvl w:ilvl="8" w:tplc="3B0495A4" w:tentative="1">
      <w:start w:val="1"/>
      <w:numFmt w:val="bullet"/>
      <w:lvlText w:val=""/>
      <w:lvlJc w:val="left"/>
      <w:pPr>
        <w:ind w:left="6480" w:hanging="360"/>
      </w:pPr>
      <w:rPr>
        <w:rFonts w:ascii="Wingdings" w:hAnsi="Wingdings" w:hint="default"/>
      </w:rPr>
    </w:lvl>
  </w:abstractNum>
  <w:abstractNum w:abstractNumId="36" w15:restartNumberingAfterBreak="0">
    <w:nsid w:val="3DF34A72"/>
    <w:multiLevelType w:val="hybridMultilevel"/>
    <w:tmpl w:val="7C228F24"/>
    <w:lvl w:ilvl="0" w:tplc="DE40CA62">
      <w:start w:val="1"/>
      <w:numFmt w:val="bullet"/>
      <w:lvlText w:val=""/>
      <w:lvlJc w:val="left"/>
      <w:pPr>
        <w:ind w:left="720" w:hanging="360"/>
      </w:pPr>
      <w:rPr>
        <w:rFonts w:ascii="Symbol" w:hAnsi="Symbol" w:hint="default"/>
      </w:rPr>
    </w:lvl>
    <w:lvl w:ilvl="1" w:tplc="9E9EC1F2" w:tentative="1">
      <w:start w:val="1"/>
      <w:numFmt w:val="bullet"/>
      <w:lvlText w:val="o"/>
      <w:lvlJc w:val="left"/>
      <w:pPr>
        <w:ind w:left="1440" w:hanging="360"/>
      </w:pPr>
      <w:rPr>
        <w:rFonts w:ascii="Courier New" w:hAnsi="Courier New" w:cs="Courier New" w:hint="default"/>
      </w:rPr>
    </w:lvl>
    <w:lvl w:ilvl="2" w:tplc="F37C844A" w:tentative="1">
      <w:start w:val="1"/>
      <w:numFmt w:val="bullet"/>
      <w:lvlText w:val=""/>
      <w:lvlJc w:val="left"/>
      <w:pPr>
        <w:ind w:left="2160" w:hanging="360"/>
      </w:pPr>
      <w:rPr>
        <w:rFonts w:ascii="Wingdings" w:hAnsi="Wingdings" w:hint="default"/>
      </w:rPr>
    </w:lvl>
    <w:lvl w:ilvl="3" w:tplc="8726224E" w:tentative="1">
      <w:start w:val="1"/>
      <w:numFmt w:val="bullet"/>
      <w:lvlText w:val=""/>
      <w:lvlJc w:val="left"/>
      <w:pPr>
        <w:ind w:left="2880" w:hanging="360"/>
      </w:pPr>
      <w:rPr>
        <w:rFonts w:ascii="Symbol" w:hAnsi="Symbol" w:hint="default"/>
      </w:rPr>
    </w:lvl>
    <w:lvl w:ilvl="4" w:tplc="84260A04" w:tentative="1">
      <w:start w:val="1"/>
      <w:numFmt w:val="bullet"/>
      <w:lvlText w:val="o"/>
      <w:lvlJc w:val="left"/>
      <w:pPr>
        <w:ind w:left="3600" w:hanging="360"/>
      </w:pPr>
      <w:rPr>
        <w:rFonts w:ascii="Courier New" w:hAnsi="Courier New" w:cs="Courier New" w:hint="default"/>
      </w:rPr>
    </w:lvl>
    <w:lvl w:ilvl="5" w:tplc="A16EA8C4" w:tentative="1">
      <w:start w:val="1"/>
      <w:numFmt w:val="bullet"/>
      <w:lvlText w:val=""/>
      <w:lvlJc w:val="left"/>
      <w:pPr>
        <w:ind w:left="4320" w:hanging="360"/>
      </w:pPr>
      <w:rPr>
        <w:rFonts w:ascii="Wingdings" w:hAnsi="Wingdings" w:hint="default"/>
      </w:rPr>
    </w:lvl>
    <w:lvl w:ilvl="6" w:tplc="E828C944" w:tentative="1">
      <w:start w:val="1"/>
      <w:numFmt w:val="bullet"/>
      <w:lvlText w:val=""/>
      <w:lvlJc w:val="left"/>
      <w:pPr>
        <w:ind w:left="5040" w:hanging="360"/>
      </w:pPr>
      <w:rPr>
        <w:rFonts w:ascii="Symbol" w:hAnsi="Symbol" w:hint="default"/>
      </w:rPr>
    </w:lvl>
    <w:lvl w:ilvl="7" w:tplc="AF248916" w:tentative="1">
      <w:start w:val="1"/>
      <w:numFmt w:val="bullet"/>
      <w:lvlText w:val="o"/>
      <w:lvlJc w:val="left"/>
      <w:pPr>
        <w:ind w:left="5760" w:hanging="360"/>
      </w:pPr>
      <w:rPr>
        <w:rFonts w:ascii="Courier New" w:hAnsi="Courier New" w:cs="Courier New" w:hint="default"/>
      </w:rPr>
    </w:lvl>
    <w:lvl w:ilvl="8" w:tplc="7DE2BC66" w:tentative="1">
      <w:start w:val="1"/>
      <w:numFmt w:val="bullet"/>
      <w:lvlText w:val=""/>
      <w:lvlJc w:val="left"/>
      <w:pPr>
        <w:ind w:left="6480" w:hanging="360"/>
      </w:pPr>
      <w:rPr>
        <w:rFonts w:ascii="Wingdings" w:hAnsi="Wingdings" w:hint="default"/>
      </w:rPr>
    </w:lvl>
  </w:abstractNum>
  <w:abstractNum w:abstractNumId="37" w15:restartNumberingAfterBreak="0">
    <w:nsid w:val="41324E0E"/>
    <w:multiLevelType w:val="hybridMultilevel"/>
    <w:tmpl w:val="4C2EEEDE"/>
    <w:lvl w:ilvl="0" w:tplc="E8848E44">
      <w:start w:val="1"/>
      <w:numFmt w:val="bullet"/>
      <w:lvlText w:val=""/>
      <w:lvlJc w:val="left"/>
      <w:pPr>
        <w:ind w:left="780" w:hanging="360"/>
      </w:pPr>
      <w:rPr>
        <w:rFonts w:ascii="Symbol" w:hAnsi="Symbol" w:hint="default"/>
      </w:rPr>
    </w:lvl>
    <w:lvl w:ilvl="1" w:tplc="6CF6A318" w:tentative="1">
      <w:start w:val="1"/>
      <w:numFmt w:val="bullet"/>
      <w:lvlText w:val="o"/>
      <w:lvlJc w:val="left"/>
      <w:pPr>
        <w:ind w:left="1500" w:hanging="360"/>
      </w:pPr>
      <w:rPr>
        <w:rFonts w:ascii="Courier New" w:hAnsi="Courier New" w:cs="Courier New" w:hint="default"/>
      </w:rPr>
    </w:lvl>
    <w:lvl w:ilvl="2" w:tplc="467A4ABE" w:tentative="1">
      <w:start w:val="1"/>
      <w:numFmt w:val="bullet"/>
      <w:lvlText w:val=""/>
      <w:lvlJc w:val="left"/>
      <w:pPr>
        <w:ind w:left="2220" w:hanging="360"/>
      </w:pPr>
      <w:rPr>
        <w:rFonts w:ascii="Wingdings" w:hAnsi="Wingdings" w:hint="default"/>
      </w:rPr>
    </w:lvl>
    <w:lvl w:ilvl="3" w:tplc="B01A4CB8" w:tentative="1">
      <w:start w:val="1"/>
      <w:numFmt w:val="bullet"/>
      <w:lvlText w:val=""/>
      <w:lvlJc w:val="left"/>
      <w:pPr>
        <w:ind w:left="2940" w:hanging="360"/>
      </w:pPr>
      <w:rPr>
        <w:rFonts w:ascii="Symbol" w:hAnsi="Symbol" w:hint="default"/>
      </w:rPr>
    </w:lvl>
    <w:lvl w:ilvl="4" w:tplc="91142E7A" w:tentative="1">
      <w:start w:val="1"/>
      <w:numFmt w:val="bullet"/>
      <w:lvlText w:val="o"/>
      <w:lvlJc w:val="left"/>
      <w:pPr>
        <w:ind w:left="3660" w:hanging="360"/>
      </w:pPr>
      <w:rPr>
        <w:rFonts w:ascii="Courier New" w:hAnsi="Courier New" w:cs="Courier New" w:hint="default"/>
      </w:rPr>
    </w:lvl>
    <w:lvl w:ilvl="5" w:tplc="5B064F92" w:tentative="1">
      <w:start w:val="1"/>
      <w:numFmt w:val="bullet"/>
      <w:lvlText w:val=""/>
      <w:lvlJc w:val="left"/>
      <w:pPr>
        <w:ind w:left="4380" w:hanging="360"/>
      </w:pPr>
      <w:rPr>
        <w:rFonts w:ascii="Wingdings" w:hAnsi="Wingdings" w:hint="default"/>
      </w:rPr>
    </w:lvl>
    <w:lvl w:ilvl="6" w:tplc="22A449F0" w:tentative="1">
      <w:start w:val="1"/>
      <w:numFmt w:val="bullet"/>
      <w:lvlText w:val=""/>
      <w:lvlJc w:val="left"/>
      <w:pPr>
        <w:ind w:left="5100" w:hanging="360"/>
      </w:pPr>
      <w:rPr>
        <w:rFonts w:ascii="Symbol" w:hAnsi="Symbol" w:hint="default"/>
      </w:rPr>
    </w:lvl>
    <w:lvl w:ilvl="7" w:tplc="F96A0F2A" w:tentative="1">
      <w:start w:val="1"/>
      <w:numFmt w:val="bullet"/>
      <w:lvlText w:val="o"/>
      <w:lvlJc w:val="left"/>
      <w:pPr>
        <w:ind w:left="5820" w:hanging="360"/>
      </w:pPr>
      <w:rPr>
        <w:rFonts w:ascii="Courier New" w:hAnsi="Courier New" w:cs="Courier New" w:hint="default"/>
      </w:rPr>
    </w:lvl>
    <w:lvl w:ilvl="8" w:tplc="068C90BE" w:tentative="1">
      <w:start w:val="1"/>
      <w:numFmt w:val="bullet"/>
      <w:lvlText w:val=""/>
      <w:lvlJc w:val="left"/>
      <w:pPr>
        <w:ind w:left="6540" w:hanging="360"/>
      </w:pPr>
      <w:rPr>
        <w:rFonts w:ascii="Wingdings" w:hAnsi="Wingdings" w:hint="default"/>
      </w:rPr>
    </w:lvl>
  </w:abstractNum>
  <w:abstractNum w:abstractNumId="38" w15:restartNumberingAfterBreak="0">
    <w:nsid w:val="420860A3"/>
    <w:multiLevelType w:val="hybridMultilevel"/>
    <w:tmpl w:val="2DF6A548"/>
    <w:lvl w:ilvl="0" w:tplc="525875EE">
      <w:start w:val="1"/>
      <w:numFmt w:val="decimal"/>
      <w:pStyle w:val="Heading2-numbered"/>
      <w:lvlText w:val="%1."/>
      <w:lvlJc w:val="left"/>
      <w:pPr>
        <w:ind w:left="360" w:hanging="360"/>
      </w:pPr>
    </w:lvl>
    <w:lvl w:ilvl="1" w:tplc="9970CDC4" w:tentative="1">
      <w:start w:val="1"/>
      <w:numFmt w:val="lowerLetter"/>
      <w:lvlText w:val="%2."/>
      <w:lvlJc w:val="left"/>
      <w:pPr>
        <w:ind w:left="1080" w:hanging="360"/>
      </w:pPr>
    </w:lvl>
    <w:lvl w:ilvl="2" w:tplc="50AC339A" w:tentative="1">
      <w:start w:val="1"/>
      <w:numFmt w:val="lowerRoman"/>
      <w:lvlText w:val="%3."/>
      <w:lvlJc w:val="right"/>
      <w:pPr>
        <w:ind w:left="1800" w:hanging="180"/>
      </w:pPr>
    </w:lvl>
    <w:lvl w:ilvl="3" w:tplc="200E3936" w:tentative="1">
      <w:start w:val="1"/>
      <w:numFmt w:val="decimal"/>
      <w:lvlText w:val="%4."/>
      <w:lvlJc w:val="left"/>
      <w:pPr>
        <w:ind w:left="2520" w:hanging="360"/>
      </w:pPr>
    </w:lvl>
    <w:lvl w:ilvl="4" w:tplc="1C30CBDC" w:tentative="1">
      <w:start w:val="1"/>
      <w:numFmt w:val="lowerLetter"/>
      <w:lvlText w:val="%5."/>
      <w:lvlJc w:val="left"/>
      <w:pPr>
        <w:ind w:left="3240" w:hanging="360"/>
      </w:pPr>
    </w:lvl>
    <w:lvl w:ilvl="5" w:tplc="7170669C" w:tentative="1">
      <w:start w:val="1"/>
      <w:numFmt w:val="lowerRoman"/>
      <w:lvlText w:val="%6."/>
      <w:lvlJc w:val="right"/>
      <w:pPr>
        <w:ind w:left="3960" w:hanging="180"/>
      </w:pPr>
    </w:lvl>
    <w:lvl w:ilvl="6" w:tplc="CEFACD2A" w:tentative="1">
      <w:start w:val="1"/>
      <w:numFmt w:val="decimal"/>
      <w:lvlText w:val="%7."/>
      <w:lvlJc w:val="left"/>
      <w:pPr>
        <w:ind w:left="4680" w:hanging="360"/>
      </w:pPr>
    </w:lvl>
    <w:lvl w:ilvl="7" w:tplc="7FEAC814" w:tentative="1">
      <w:start w:val="1"/>
      <w:numFmt w:val="lowerLetter"/>
      <w:lvlText w:val="%8."/>
      <w:lvlJc w:val="left"/>
      <w:pPr>
        <w:ind w:left="5400" w:hanging="360"/>
      </w:pPr>
    </w:lvl>
    <w:lvl w:ilvl="8" w:tplc="28DAC0FC" w:tentative="1">
      <w:start w:val="1"/>
      <w:numFmt w:val="lowerRoman"/>
      <w:lvlText w:val="%9."/>
      <w:lvlJc w:val="right"/>
      <w:pPr>
        <w:ind w:left="6120" w:hanging="180"/>
      </w:pPr>
    </w:lvl>
  </w:abstractNum>
  <w:abstractNum w:abstractNumId="39" w15:restartNumberingAfterBreak="0">
    <w:nsid w:val="57327140"/>
    <w:multiLevelType w:val="hybridMultilevel"/>
    <w:tmpl w:val="0E22B2B0"/>
    <w:lvl w:ilvl="0" w:tplc="8758CC84">
      <w:start w:val="1"/>
      <w:numFmt w:val="bullet"/>
      <w:lvlText w:val=""/>
      <w:lvlJc w:val="left"/>
      <w:pPr>
        <w:ind w:left="720" w:hanging="360"/>
      </w:pPr>
      <w:rPr>
        <w:rFonts w:ascii="Symbol" w:hAnsi="Symbol" w:hint="default"/>
      </w:rPr>
    </w:lvl>
    <w:lvl w:ilvl="1" w:tplc="5A38A438" w:tentative="1">
      <w:start w:val="1"/>
      <w:numFmt w:val="bullet"/>
      <w:lvlText w:val="o"/>
      <w:lvlJc w:val="left"/>
      <w:pPr>
        <w:ind w:left="1440" w:hanging="360"/>
      </w:pPr>
      <w:rPr>
        <w:rFonts w:ascii="Courier New" w:hAnsi="Courier New" w:cs="Courier New" w:hint="default"/>
      </w:rPr>
    </w:lvl>
    <w:lvl w:ilvl="2" w:tplc="9AE6F53E" w:tentative="1">
      <w:start w:val="1"/>
      <w:numFmt w:val="bullet"/>
      <w:lvlText w:val=""/>
      <w:lvlJc w:val="left"/>
      <w:pPr>
        <w:ind w:left="2160" w:hanging="360"/>
      </w:pPr>
      <w:rPr>
        <w:rFonts w:ascii="Wingdings" w:hAnsi="Wingdings" w:hint="default"/>
      </w:rPr>
    </w:lvl>
    <w:lvl w:ilvl="3" w:tplc="F82EC5E2" w:tentative="1">
      <w:start w:val="1"/>
      <w:numFmt w:val="bullet"/>
      <w:lvlText w:val=""/>
      <w:lvlJc w:val="left"/>
      <w:pPr>
        <w:ind w:left="2880" w:hanging="360"/>
      </w:pPr>
      <w:rPr>
        <w:rFonts w:ascii="Symbol" w:hAnsi="Symbol" w:hint="default"/>
      </w:rPr>
    </w:lvl>
    <w:lvl w:ilvl="4" w:tplc="014C2AD8" w:tentative="1">
      <w:start w:val="1"/>
      <w:numFmt w:val="bullet"/>
      <w:lvlText w:val="o"/>
      <w:lvlJc w:val="left"/>
      <w:pPr>
        <w:ind w:left="3600" w:hanging="360"/>
      </w:pPr>
      <w:rPr>
        <w:rFonts w:ascii="Courier New" w:hAnsi="Courier New" w:cs="Courier New" w:hint="default"/>
      </w:rPr>
    </w:lvl>
    <w:lvl w:ilvl="5" w:tplc="1C2C2886" w:tentative="1">
      <w:start w:val="1"/>
      <w:numFmt w:val="bullet"/>
      <w:lvlText w:val=""/>
      <w:lvlJc w:val="left"/>
      <w:pPr>
        <w:ind w:left="4320" w:hanging="360"/>
      </w:pPr>
      <w:rPr>
        <w:rFonts w:ascii="Wingdings" w:hAnsi="Wingdings" w:hint="default"/>
      </w:rPr>
    </w:lvl>
    <w:lvl w:ilvl="6" w:tplc="1D42E11E" w:tentative="1">
      <w:start w:val="1"/>
      <w:numFmt w:val="bullet"/>
      <w:lvlText w:val=""/>
      <w:lvlJc w:val="left"/>
      <w:pPr>
        <w:ind w:left="5040" w:hanging="360"/>
      </w:pPr>
      <w:rPr>
        <w:rFonts w:ascii="Symbol" w:hAnsi="Symbol" w:hint="default"/>
      </w:rPr>
    </w:lvl>
    <w:lvl w:ilvl="7" w:tplc="DAD00BA0" w:tentative="1">
      <w:start w:val="1"/>
      <w:numFmt w:val="bullet"/>
      <w:lvlText w:val="o"/>
      <w:lvlJc w:val="left"/>
      <w:pPr>
        <w:ind w:left="5760" w:hanging="360"/>
      </w:pPr>
      <w:rPr>
        <w:rFonts w:ascii="Courier New" w:hAnsi="Courier New" w:cs="Courier New" w:hint="default"/>
      </w:rPr>
    </w:lvl>
    <w:lvl w:ilvl="8" w:tplc="4440A654" w:tentative="1">
      <w:start w:val="1"/>
      <w:numFmt w:val="bullet"/>
      <w:lvlText w:val=""/>
      <w:lvlJc w:val="left"/>
      <w:pPr>
        <w:ind w:left="6480" w:hanging="360"/>
      </w:pPr>
      <w:rPr>
        <w:rFonts w:ascii="Wingdings" w:hAnsi="Wingdings" w:hint="default"/>
      </w:rPr>
    </w:lvl>
  </w:abstractNum>
  <w:abstractNum w:abstractNumId="40" w15:restartNumberingAfterBreak="0">
    <w:nsid w:val="61B81EBA"/>
    <w:multiLevelType w:val="hybridMultilevel"/>
    <w:tmpl w:val="5718BFE8"/>
    <w:lvl w:ilvl="0" w:tplc="6262AE9A">
      <w:start w:val="1"/>
      <w:numFmt w:val="bullet"/>
      <w:lvlText w:val=""/>
      <w:lvlJc w:val="left"/>
      <w:pPr>
        <w:ind w:left="720" w:hanging="360"/>
      </w:pPr>
      <w:rPr>
        <w:rFonts w:ascii="Symbol" w:hAnsi="Symbol" w:hint="default"/>
      </w:rPr>
    </w:lvl>
    <w:lvl w:ilvl="1" w:tplc="C5C8344E" w:tentative="1">
      <w:start w:val="1"/>
      <w:numFmt w:val="bullet"/>
      <w:lvlText w:val="o"/>
      <w:lvlJc w:val="left"/>
      <w:pPr>
        <w:ind w:left="1440" w:hanging="360"/>
      </w:pPr>
      <w:rPr>
        <w:rFonts w:ascii="Courier New" w:hAnsi="Courier New" w:cs="Courier New" w:hint="default"/>
      </w:rPr>
    </w:lvl>
    <w:lvl w:ilvl="2" w:tplc="F15043BE" w:tentative="1">
      <w:start w:val="1"/>
      <w:numFmt w:val="bullet"/>
      <w:lvlText w:val=""/>
      <w:lvlJc w:val="left"/>
      <w:pPr>
        <w:ind w:left="2160" w:hanging="360"/>
      </w:pPr>
      <w:rPr>
        <w:rFonts w:ascii="Wingdings" w:hAnsi="Wingdings" w:hint="default"/>
      </w:rPr>
    </w:lvl>
    <w:lvl w:ilvl="3" w:tplc="342CD7A0" w:tentative="1">
      <w:start w:val="1"/>
      <w:numFmt w:val="bullet"/>
      <w:lvlText w:val=""/>
      <w:lvlJc w:val="left"/>
      <w:pPr>
        <w:ind w:left="2880" w:hanging="360"/>
      </w:pPr>
      <w:rPr>
        <w:rFonts w:ascii="Symbol" w:hAnsi="Symbol" w:hint="default"/>
      </w:rPr>
    </w:lvl>
    <w:lvl w:ilvl="4" w:tplc="D19E5B22" w:tentative="1">
      <w:start w:val="1"/>
      <w:numFmt w:val="bullet"/>
      <w:lvlText w:val="o"/>
      <w:lvlJc w:val="left"/>
      <w:pPr>
        <w:ind w:left="3600" w:hanging="360"/>
      </w:pPr>
      <w:rPr>
        <w:rFonts w:ascii="Courier New" w:hAnsi="Courier New" w:cs="Courier New" w:hint="default"/>
      </w:rPr>
    </w:lvl>
    <w:lvl w:ilvl="5" w:tplc="9116753E" w:tentative="1">
      <w:start w:val="1"/>
      <w:numFmt w:val="bullet"/>
      <w:lvlText w:val=""/>
      <w:lvlJc w:val="left"/>
      <w:pPr>
        <w:ind w:left="4320" w:hanging="360"/>
      </w:pPr>
      <w:rPr>
        <w:rFonts w:ascii="Wingdings" w:hAnsi="Wingdings" w:hint="default"/>
      </w:rPr>
    </w:lvl>
    <w:lvl w:ilvl="6" w:tplc="3F840812" w:tentative="1">
      <w:start w:val="1"/>
      <w:numFmt w:val="bullet"/>
      <w:lvlText w:val=""/>
      <w:lvlJc w:val="left"/>
      <w:pPr>
        <w:ind w:left="5040" w:hanging="360"/>
      </w:pPr>
      <w:rPr>
        <w:rFonts w:ascii="Symbol" w:hAnsi="Symbol" w:hint="default"/>
      </w:rPr>
    </w:lvl>
    <w:lvl w:ilvl="7" w:tplc="1F4ADA9E" w:tentative="1">
      <w:start w:val="1"/>
      <w:numFmt w:val="bullet"/>
      <w:lvlText w:val="o"/>
      <w:lvlJc w:val="left"/>
      <w:pPr>
        <w:ind w:left="5760" w:hanging="360"/>
      </w:pPr>
      <w:rPr>
        <w:rFonts w:ascii="Courier New" w:hAnsi="Courier New" w:cs="Courier New" w:hint="default"/>
      </w:rPr>
    </w:lvl>
    <w:lvl w:ilvl="8" w:tplc="98FEB5BA" w:tentative="1">
      <w:start w:val="1"/>
      <w:numFmt w:val="bullet"/>
      <w:lvlText w:val=""/>
      <w:lvlJc w:val="left"/>
      <w:pPr>
        <w:ind w:left="6480" w:hanging="360"/>
      </w:pPr>
      <w:rPr>
        <w:rFonts w:ascii="Wingdings" w:hAnsi="Wingdings" w:hint="default"/>
      </w:rPr>
    </w:lvl>
  </w:abstractNum>
  <w:abstractNum w:abstractNumId="41" w15:restartNumberingAfterBreak="0">
    <w:nsid w:val="63F759CD"/>
    <w:multiLevelType w:val="hybridMultilevel"/>
    <w:tmpl w:val="6FF22088"/>
    <w:lvl w:ilvl="0" w:tplc="F00CBB8A">
      <w:start w:val="1"/>
      <w:numFmt w:val="decimal"/>
      <w:pStyle w:val="Heading4"/>
      <w:lvlText w:val="%1."/>
      <w:lvlJc w:val="left"/>
      <w:pPr>
        <w:ind w:left="360" w:hanging="360"/>
      </w:pPr>
    </w:lvl>
    <w:lvl w:ilvl="1" w:tplc="24A2DB38" w:tentative="1">
      <w:start w:val="1"/>
      <w:numFmt w:val="lowerLetter"/>
      <w:lvlText w:val="%2."/>
      <w:lvlJc w:val="left"/>
      <w:pPr>
        <w:ind w:left="1080" w:hanging="360"/>
      </w:pPr>
    </w:lvl>
    <w:lvl w:ilvl="2" w:tplc="B34CE004" w:tentative="1">
      <w:start w:val="1"/>
      <w:numFmt w:val="lowerRoman"/>
      <w:lvlText w:val="%3."/>
      <w:lvlJc w:val="right"/>
      <w:pPr>
        <w:ind w:left="1800" w:hanging="180"/>
      </w:pPr>
    </w:lvl>
    <w:lvl w:ilvl="3" w:tplc="B5EEF5F0" w:tentative="1">
      <w:start w:val="1"/>
      <w:numFmt w:val="decimal"/>
      <w:lvlText w:val="%4."/>
      <w:lvlJc w:val="left"/>
      <w:pPr>
        <w:ind w:left="2520" w:hanging="360"/>
      </w:pPr>
    </w:lvl>
    <w:lvl w:ilvl="4" w:tplc="9F145E1A" w:tentative="1">
      <w:start w:val="1"/>
      <w:numFmt w:val="lowerLetter"/>
      <w:lvlText w:val="%5."/>
      <w:lvlJc w:val="left"/>
      <w:pPr>
        <w:ind w:left="3240" w:hanging="360"/>
      </w:pPr>
    </w:lvl>
    <w:lvl w:ilvl="5" w:tplc="7B805880" w:tentative="1">
      <w:start w:val="1"/>
      <w:numFmt w:val="lowerRoman"/>
      <w:lvlText w:val="%6."/>
      <w:lvlJc w:val="right"/>
      <w:pPr>
        <w:ind w:left="3960" w:hanging="180"/>
      </w:pPr>
    </w:lvl>
    <w:lvl w:ilvl="6" w:tplc="967EE330" w:tentative="1">
      <w:start w:val="1"/>
      <w:numFmt w:val="decimal"/>
      <w:lvlText w:val="%7."/>
      <w:lvlJc w:val="left"/>
      <w:pPr>
        <w:ind w:left="4680" w:hanging="360"/>
      </w:pPr>
    </w:lvl>
    <w:lvl w:ilvl="7" w:tplc="34B8BE2A" w:tentative="1">
      <w:start w:val="1"/>
      <w:numFmt w:val="lowerLetter"/>
      <w:lvlText w:val="%8."/>
      <w:lvlJc w:val="left"/>
      <w:pPr>
        <w:ind w:left="5400" w:hanging="360"/>
      </w:pPr>
    </w:lvl>
    <w:lvl w:ilvl="8" w:tplc="F280CA06" w:tentative="1">
      <w:start w:val="1"/>
      <w:numFmt w:val="lowerRoman"/>
      <w:lvlText w:val="%9."/>
      <w:lvlJc w:val="right"/>
      <w:pPr>
        <w:ind w:left="6120" w:hanging="180"/>
      </w:pPr>
    </w:lvl>
  </w:abstractNum>
  <w:abstractNum w:abstractNumId="42" w15:restartNumberingAfterBreak="0">
    <w:nsid w:val="709D030F"/>
    <w:multiLevelType w:val="hybridMultilevel"/>
    <w:tmpl w:val="1F602B86"/>
    <w:lvl w:ilvl="0" w:tplc="B56452C2">
      <w:start w:val="1"/>
      <w:numFmt w:val="lowerLetter"/>
      <w:lvlText w:val="%1)"/>
      <w:lvlJc w:val="left"/>
      <w:pPr>
        <w:ind w:left="1080" w:hanging="360"/>
      </w:pPr>
      <w:rPr>
        <w:rFonts w:hint="default"/>
      </w:rPr>
    </w:lvl>
    <w:lvl w:ilvl="1" w:tplc="51300CE4" w:tentative="1">
      <w:start w:val="1"/>
      <w:numFmt w:val="lowerLetter"/>
      <w:lvlText w:val="%2."/>
      <w:lvlJc w:val="left"/>
      <w:pPr>
        <w:ind w:left="1800" w:hanging="360"/>
      </w:pPr>
    </w:lvl>
    <w:lvl w:ilvl="2" w:tplc="E0E2C6A6" w:tentative="1">
      <w:start w:val="1"/>
      <w:numFmt w:val="lowerRoman"/>
      <w:lvlText w:val="%3."/>
      <w:lvlJc w:val="right"/>
      <w:pPr>
        <w:ind w:left="2520" w:hanging="180"/>
      </w:pPr>
    </w:lvl>
    <w:lvl w:ilvl="3" w:tplc="88F22190" w:tentative="1">
      <w:start w:val="1"/>
      <w:numFmt w:val="decimal"/>
      <w:lvlText w:val="%4."/>
      <w:lvlJc w:val="left"/>
      <w:pPr>
        <w:ind w:left="3240" w:hanging="360"/>
      </w:pPr>
    </w:lvl>
    <w:lvl w:ilvl="4" w:tplc="D4AA0F72" w:tentative="1">
      <w:start w:val="1"/>
      <w:numFmt w:val="lowerLetter"/>
      <w:lvlText w:val="%5."/>
      <w:lvlJc w:val="left"/>
      <w:pPr>
        <w:ind w:left="3960" w:hanging="360"/>
      </w:pPr>
    </w:lvl>
    <w:lvl w:ilvl="5" w:tplc="E5FA64B6" w:tentative="1">
      <w:start w:val="1"/>
      <w:numFmt w:val="lowerRoman"/>
      <w:lvlText w:val="%6."/>
      <w:lvlJc w:val="right"/>
      <w:pPr>
        <w:ind w:left="4680" w:hanging="180"/>
      </w:pPr>
    </w:lvl>
    <w:lvl w:ilvl="6" w:tplc="FC946DEE" w:tentative="1">
      <w:start w:val="1"/>
      <w:numFmt w:val="decimal"/>
      <w:lvlText w:val="%7."/>
      <w:lvlJc w:val="left"/>
      <w:pPr>
        <w:ind w:left="5400" w:hanging="360"/>
      </w:pPr>
    </w:lvl>
    <w:lvl w:ilvl="7" w:tplc="CC126260" w:tentative="1">
      <w:start w:val="1"/>
      <w:numFmt w:val="lowerLetter"/>
      <w:lvlText w:val="%8."/>
      <w:lvlJc w:val="left"/>
      <w:pPr>
        <w:ind w:left="6120" w:hanging="360"/>
      </w:pPr>
    </w:lvl>
    <w:lvl w:ilvl="8" w:tplc="9438D600" w:tentative="1">
      <w:start w:val="1"/>
      <w:numFmt w:val="lowerRoman"/>
      <w:lvlText w:val="%9."/>
      <w:lvlJc w:val="right"/>
      <w:pPr>
        <w:ind w:left="6840" w:hanging="180"/>
      </w:pPr>
    </w:lvl>
  </w:abstractNum>
  <w:abstractNum w:abstractNumId="43" w15:restartNumberingAfterBreak="0">
    <w:nsid w:val="70BD6357"/>
    <w:multiLevelType w:val="hybridMultilevel"/>
    <w:tmpl w:val="F140D6D8"/>
    <w:lvl w:ilvl="0" w:tplc="8E0CEF10">
      <w:start w:val="1"/>
      <w:numFmt w:val="bullet"/>
      <w:lvlText w:val=""/>
      <w:lvlJc w:val="left"/>
      <w:pPr>
        <w:ind w:left="720" w:hanging="360"/>
      </w:pPr>
      <w:rPr>
        <w:rFonts w:ascii="Symbol" w:hAnsi="Symbol" w:hint="default"/>
      </w:rPr>
    </w:lvl>
    <w:lvl w:ilvl="1" w:tplc="CE401B08" w:tentative="1">
      <w:start w:val="1"/>
      <w:numFmt w:val="bullet"/>
      <w:lvlText w:val="o"/>
      <w:lvlJc w:val="left"/>
      <w:pPr>
        <w:ind w:left="1440" w:hanging="360"/>
      </w:pPr>
      <w:rPr>
        <w:rFonts w:ascii="Courier New" w:hAnsi="Courier New" w:cs="Courier New" w:hint="default"/>
      </w:rPr>
    </w:lvl>
    <w:lvl w:ilvl="2" w:tplc="82C8AE72" w:tentative="1">
      <w:start w:val="1"/>
      <w:numFmt w:val="bullet"/>
      <w:lvlText w:val=""/>
      <w:lvlJc w:val="left"/>
      <w:pPr>
        <w:ind w:left="2160" w:hanging="360"/>
      </w:pPr>
      <w:rPr>
        <w:rFonts w:ascii="Wingdings" w:hAnsi="Wingdings" w:hint="default"/>
      </w:rPr>
    </w:lvl>
    <w:lvl w:ilvl="3" w:tplc="018EE2B0" w:tentative="1">
      <w:start w:val="1"/>
      <w:numFmt w:val="bullet"/>
      <w:lvlText w:val=""/>
      <w:lvlJc w:val="left"/>
      <w:pPr>
        <w:ind w:left="2880" w:hanging="360"/>
      </w:pPr>
      <w:rPr>
        <w:rFonts w:ascii="Symbol" w:hAnsi="Symbol" w:hint="default"/>
      </w:rPr>
    </w:lvl>
    <w:lvl w:ilvl="4" w:tplc="FA7E5E62" w:tentative="1">
      <w:start w:val="1"/>
      <w:numFmt w:val="bullet"/>
      <w:lvlText w:val="o"/>
      <w:lvlJc w:val="left"/>
      <w:pPr>
        <w:ind w:left="3600" w:hanging="360"/>
      </w:pPr>
      <w:rPr>
        <w:rFonts w:ascii="Courier New" w:hAnsi="Courier New" w:cs="Courier New" w:hint="default"/>
      </w:rPr>
    </w:lvl>
    <w:lvl w:ilvl="5" w:tplc="52CA7EB2" w:tentative="1">
      <w:start w:val="1"/>
      <w:numFmt w:val="bullet"/>
      <w:lvlText w:val=""/>
      <w:lvlJc w:val="left"/>
      <w:pPr>
        <w:ind w:left="4320" w:hanging="360"/>
      </w:pPr>
      <w:rPr>
        <w:rFonts w:ascii="Wingdings" w:hAnsi="Wingdings" w:hint="default"/>
      </w:rPr>
    </w:lvl>
    <w:lvl w:ilvl="6" w:tplc="1B6AF692" w:tentative="1">
      <w:start w:val="1"/>
      <w:numFmt w:val="bullet"/>
      <w:lvlText w:val=""/>
      <w:lvlJc w:val="left"/>
      <w:pPr>
        <w:ind w:left="5040" w:hanging="360"/>
      </w:pPr>
      <w:rPr>
        <w:rFonts w:ascii="Symbol" w:hAnsi="Symbol" w:hint="default"/>
      </w:rPr>
    </w:lvl>
    <w:lvl w:ilvl="7" w:tplc="C54EBCBE" w:tentative="1">
      <w:start w:val="1"/>
      <w:numFmt w:val="bullet"/>
      <w:lvlText w:val="o"/>
      <w:lvlJc w:val="left"/>
      <w:pPr>
        <w:ind w:left="5760" w:hanging="360"/>
      </w:pPr>
      <w:rPr>
        <w:rFonts w:ascii="Courier New" w:hAnsi="Courier New" w:cs="Courier New" w:hint="default"/>
      </w:rPr>
    </w:lvl>
    <w:lvl w:ilvl="8" w:tplc="50C0292C" w:tentative="1">
      <w:start w:val="1"/>
      <w:numFmt w:val="bullet"/>
      <w:lvlText w:val=""/>
      <w:lvlJc w:val="left"/>
      <w:pPr>
        <w:ind w:left="6480" w:hanging="360"/>
      </w:pPr>
      <w:rPr>
        <w:rFonts w:ascii="Wingdings" w:hAnsi="Wingdings" w:hint="default"/>
      </w:rPr>
    </w:lvl>
  </w:abstractNum>
  <w:abstractNum w:abstractNumId="44" w15:restartNumberingAfterBreak="0">
    <w:nsid w:val="70E6682E"/>
    <w:multiLevelType w:val="hybridMultilevel"/>
    <w:tmpl w:val="84EE0656"/>
    <w:lvl w:ilvl="0" w:tplc="F432C6BC">
      <w:start w:val="1"/>
      <w:numFmt w:val="bullet"/>
      <w:lvlText w:val=""/>
      <w:lvlJc w:val="left"/>
      <w:pPr>
        <w:ind w:left="720" w:hanging="360"/>
      </w:pPr>
      <w:rPr>
        <w:rFonts w:ascii="Symbol" w:hAnsi="Symbol" w:hint="default"/>
      </w:rPr>
    </w:lvl>
    <w:lvl w:ilvl="1" w:tplc="A85AEF6C" w:tentative="1">
      <w:start w:val="1"/>
      <w:numFmt w:val="bullet"/>
      <w:lvlText w:val="o"/>
      <w:lvlJc w:val="left"/>
      <w:pPr>
        <w:ind w:left="1440" w:hanging="360"/>
      </w:pPr>
      <w:rPr>
        <w:rFonts w:ascii="Courier New" w:hAnsi="Courier New" w:cs="Courier New" w:hint="default"/>
      </w:rPr>
    </w:lvl>
    <w:lvl w:ilvl="2" w:tplc="B8BA6434" w:tentative="1">
      <w:start w:val="1"/>
      <w:numFmt w:val="bullet"/>
      <w:lvlText w:val=""/>
      <w:lvlJc w:val="left"/>
      <w:pPr>
        <w:ind w:left="2160" w:hanging="360"/>
      </w:pPr>
      <w:rPr>
        <w:rFonts w:ascii="Wingdings" w:hAnsi="Wingdings" w:hint="default"/>
      </w:rPr>
    </w:lvl>
    <w:lvl w:ilvl="3" w:tplc="B040311C" w:tentative="1">
      <w:start w:val="1"/>
      <w:numFmt w:val="bullet"/>
      <w:lvlText w:val=""/>
      <w:lvlJc w:val="left"/>
      <w:pPr>
        <w:ind w:left="2880" w:hanging="360"/>
      </w:pPr>
      <w:rPr>
        <w:rFonts w:ascii="Symbol" w:hAnsi="Symbol" w:hint="default"/>
      </w:rPr>
    </w:lvl>
    <w:lvl w:ilvl="4" w:tplc="847AD2F6" w:tentative="1">
      <w:start w:val="1"/>
      <w:numFmt w:val="bullet"/>
      <w:lvlText w:val="o"/>
      <w:lvlJc w:val="left"/>
      <w:pPr>
        <w:ind w:left="3600" w:hanging="360"/>
      </w:pPr>
      <w:rPr>
        <w:rFonts w:ascii="Courier New" w:hAnsi="Courier New" w:cs="Courier New" w:hint="default"/>
      </w:rPr>
    </w:lvl>
    <w:lvl w:ilvl="5" w:tplc="CAD4BF34" w:tentative="1">
      <w:start w:val="1"/>
      <w:numFmt w:val="bullet"/>
      <w:lvlText w:val=""/>
      <w:lvlJc w:val="left"/>
      <w:pPr>
        <w:ind w:left="4320" w:hanging="360"/>
      </w:pPr>
      <w:rPr>
        <w:rFonts w:ascii="Wingdings" w:hAnsi="Wingdings" w:hint="default"/>
      </w:rPr>
    </w:lvl>
    <w:lvl w:ilvl="6" w:tplc="A1469918" w:tentative="1">
      <w:start w:val="1"/>
      <w:numFmt w:val="bullet"/>
      <w:lvlText w:val=""/>
      <w:lvlJc w:val="left"/>
      <w:pPr>
        <w:ind w:left="5040" w:hanging="360"/>
      </w:pPr>
      <w:rPr>
        <w:rFonts w:ascii="Symbol" w:hAnsi="Symbol" w:hint="default"/>
      </w:rPr>
    </w:lvl>
    <w:lvl w:ilvl="7" w:tplc="BE36CF14" w:tentative="1">
      <w:start w:val="1"/>
      <w:numFmt w:val="bullet"/>
      <w:lvlText w:val="o"/>
      <w:lvlJc w:val="left"/>
      <w:pPr>
        <w:ind w:left="5760" w:hanging="360"/>
      </w:pPr>
      <w:rPr>
        <w:rFonts w:ascii="Courier New" w:hAnsi="Courier New" w:cs="Courier New" w:hint="default"/>
      </w:rPr>
    </w:lvl>
    <w:lvl w:ilvl="8" w:tplc="D75EBF74" w:tentative="1">
      <w:start w:val="1"/>
      <w:numFmt w:val="bullet"/>
      <w:lvlText w:val=""/>
      <w:lvlJc w:val="left"/>
      <w:pPr>
        <w:ind w:left="6480" w:hanging="360"/>
      </w:pPr>
      <w:rPr>
        <w:rFonts w:ascii="Wingdings" w:hAnsi="Wingdings" w:hint="default"/>
      </w:rPr>
    </w:lvl>
  </w:abstractNum>
  <w:abstractNum w:abstractNumId="45" w15:restartNumberingAfterBreak="0">
    <w:nsid w:val="712C6B77"/>
    <w:multiLevelType w:val="hybridMultilevel"/>
    <w:tmpl w:val="808278F0"/>
    <w:lvl w:ilvl="0" w:tplc="2EDAF0B8">
      <w:start w:val="1"/>
      <w:numFmt w:val="decimal"/>
      <w:pStyle w:val="Heading3-numbered"/>
      <w:lvlText w:val="%1."/>
      <w:lvlJc w:val="left"/>
      <w:pPr>
        <w:ind w:left="360" w:hanging="360"/>
      </w:pPr>
      <w:rPr>
        <w:b/>
        <w:i w:val="0"/>
        <w:color w:val="auto"/>
        <w:sz w:val="28"/>
        <w:szCs w:val="28"/>
      </w:rPr>
    </w:lvl>
    <w:lvl w:ilvl="1" w:tplc="4C5857F0" w:tentative="1">
      <w:start w:val="1"/>
      <w:numFmt w:val="lowerLetter"/>
      <w:lvlText w:val="%2."/>
      <w:lvlJc w:val="left"/>
      <w:pPr>
        <w:ind w:left="1080" w:hanging="360"/>
      </w:pPr>
    </w:lvl>
    <w:lvl w:ilvl="2" w:tplc="0FC088FE" w:tentative="1">
      <w:start w:val="1"/>
      <w:numFmt w:val="lowerRoman"/>
      <w:lvlText w:val="%3."/>
      <w:lvlJc w:val="right"/>
      <w:pPr>
        <w:ind w:left="1800" w:hanging="180"/>
      </w:pPr>
    </w:lvl>
    <w:lvl w:ilvl="3" w:tplc="E5A6C8FA" w:tentative="1">
      <w:start w:val="1"/>
      <w:numFmt w:val="decimal"/>
      <w:lvlText w:val="%4."/>
      <w:lvlJc w:val="left"/>
      <w:pPr>
        <w:ind w:left="2520" w:hanging="360"/>
      </w:pPr>
    </w:lvl>
    <w:lvl w:ilvl="4" w:tplc="C0CCC5E4" w:tentative="1">
      <w:start w:val="1"/>
      <w:numFmt w:val="lowerLetter"/>
      <w:lvlText w:val="%5."/>
      <w:lvlJc w:val="left"/>
      <w:pPr>
        <w:ind w:left="3240" w:hanging="360"/>
      </w:pPr>
    </w:lvl>
    <w:lvl w:ilvl="5" w:tplc="5FC8EDDE" w:tentative="1">
      <w:start w:val="1"/>
      <w:numFmt w:val="lowerRoman"/>
      <w:lvlText w:val="%6."/>
      <w:lvlJc w:val="right"/>
      <w:pPr>
        <w:ind w:left="3960" w:hanging="180"/>
      </w:pPr>
    </w:lvl>
    <w:lvl w:ilvl="6" w:tplc="09EE3A62" w:tentative="1">
      <w:start w:val="1"/>
      <w:numFmt w:val="decimal"/>
      <w:lvlText w:val="%7."/>
      <w:lvlJc w:val="left"/>
      <w:pPr>
        <w:ind w:left="4680" w:hanging="360"/>
      </w:pPr>
    </w:lvl>
    <w:lvl w:ilvl="7" w:tplc="0BEEE98E" w:tentative="1">
      <w:start w:val="1"/>
      <w:numFmt w:val="lowerLetter"/>
      <w:lvlText w:val="%8."/>
      <w:lvlJc w:val="left"/>
      <w:pPr>
        <w:ind w:left="5400" w:hanging="360"/>
      </w:pPr>
    </w:lvl>
    <w:lvl w:ilvl="8" w:tplc="7BC46F56" w:tentative="1">
      <w:start w:val="1"/>
      <w:numFmt w:val="lowerRoman"/>
      <w:lvlText w:val="%9."/>
      <w:lvlJc w:val="right"/>
      <w:pPr>
        <w:ind w:left="6120" w:hanging="180"/>
      </w:pPr>
    </w:lvl>
  </w:abstractNum>
  <w:abstractNum w:abstractNumId="46" w15:restartNumberingAfterBreak="0">
    <w:nsid w:val="7A7227AB"/>
    <w:multiLevelType w:val="hybridMultilevel"/>
    <w:tmpl w:val="AD38EA8A"/>
    <w:lvl w:ilvl="0" w:tplc="0A68B388">
      <w:start w:val="1"/>
      <w:numFmt w:val="bullet"/>
      <w:lvlText w:val=""/>
      <w:lvlJc w:val="left"/>
      <w:pPr>
        <w:ind w:left="720" w:hanging="360"/>
      </w:pPr>
      <w:rPr>
        <w:rFonts w:ascii="Symbol" w:hAnsi="Symbol" w:hint="default"/>
      </w:rPr>
    </w:lvl>
    <w:lvl w:ilvl="1" w:tplc="E3FE2138" w:tentative="1">
      <w:start w:val="1"/>
      <w:numFmt w:val="bullet"/>
      <w:lvlText w:val="o"/>
      <w:lvlJc w:val="left"/>
      <w:pPr>
        <w:ind w:left="1440" w:hanging="360"/>
      </w:pPr>
      <w:rPr>
        <w:rFonts w:ascii="Courier New" w:hAnsi="Courier New" w:cs="Courier New" w:hint="default"/>
      </w:rPr>
    </w:lvl>
    <w:lvl w:ilvl="2" w:tplc="BCFECF9E" w:tentative="1">
      <w:start w:val="1"/>
      <w:numFmt w:val="bullet"/>
      <w:lvlText w:val=""/>
      <w:lvlJc w:val="left"/>
      <w:pPr>
        <w:ind w:left="2160" w:hanging="360"/>
      </w:pPr>
      <w:rPr>
        <w:rFonts w:ascii="Wingdings" w:hAnsi="Wingdings" w:hint="default"/>
      </w:rPr>
    </w:lvl>
    <w:lvl w:ilvl="3" w:tplc="57D604A8" w:tentative="1">
      <w:start w:val="1"/>
      <w:numFmt w:val="bullet"/>
      <w:lvlText w:val=""/>
      <w:lvlJc w:val="left"/>
      <w:pPr>
        <w:ind w:left="2880" w:hanging="360"/>
      </w:pPr>
      <w:rPr>
        <w:rFonts w:ascii="Symbol" w:hAnsi="Symbol" w:hint="default"/>
      </w:rPr>
    </w:lvl>
    <w:lvl w:ilvl="4" w:tplc="189A0E1E" w:tentative="1">
      <w:start w:val="1"/>
      <w:numFmt w:val="bullet"/>
      <w:lvlText w:val="o"/>
      <w:lvlJc w:val="left"/>
      <w:pPr>
        <w:ind w:left="3600" w:hanging="360"/>
      </w:pPr>
      <w:rPr>
        <w:rFonts w:ascii="Courier New" w:hAnsi="Courier New" w:cs="Courier New" w:hint="default"/>
      </w:rPr>
    </w:lvl>
    <w:lvl w:ilvl="5" w:tplc="04940768" w:tentative="1">
      <w:start w:val="1"/>
      <w:numFmt w:val="bullet"/>
      <w:lvlText w:val=""/>
      <w:lvlJc w:val="left"/>
      <w:pPr>
        <w:ind w:left="4320" w:hanging="360"/>
      </w:pPr>
      <w:rPr>
        <w:rFonts w:ascii="Wingdings" w:hAnsi="Wingdings" w:hint="default"/>
      </w:rPr>
    </w:lvl>
    <w:lvl w:ilvl="6" w:tplc="68087408" w:tentative="1">
      <w:start w:val="1"/>
      <w:numFmt w:val="bullet"/>
      <w:lvlText w:val=""/>
      <w:lvlJc w:val="left"/>
      <w:pPr>
        <w:ind w:left="5040" w:hanging="360"/>
      </w:pPr>
      <w:rPr>
        <w:rFonts w:ascii="Symbol" w:hAnsi="Symbol" w:hint="default"/>
      </w:rPr>
    </w:lvl>
    <w:lvl w:ilvl="7" w:tplc="C8863A0A" w:tentative="1">
      <w:start w:val="1"/>
      <w:numFmt w:val="bullet"/>
      <w:lvlText w:val="o"/>
      <w:lvlJc w:val="left"/>
      <w:pPr>
        <w:ind w:left="5760" w:hanging="360"/>
      </w:pPr>
      <w:rPr>
        <w:rFonts w:ascii="Courier New" w:hAnsi="Courier New" w:cs="Courier New" w:hint="default"/>
      </w:rPr>
    </w:lvl>
    <w:lvl w:ilvl="8" w:tplc="E4B0F2D4"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5"/>
  </w:num>
  <w:num w:numId="4">
    <w:abstractNumId w:val="41"/>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27"/>
  </w:num>
  <w:num w:numId="27">
    <w:abstractNumId w:val="35"/>
  </w:num>
  <w:num w:numId="28">
    <w:abstractNumId w:val="40"/>
  </w:num>
  <w:num w:numId="29">
    <w:abstractNumId w:val="28"/>
  </w:num>
  <w:num w:numId="30">
    <w:abstractNumId w:val="25"/>
  </w:num>
  <w:num w:numId="31">
    <w:abstractNumId w:val="24"/>
  </w:num>
  <w:num w:numId="32">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4"/>
  </w:num>
  <w:num w:numId="35">
    <w:abstractNumId w:val="46"/>
  </w:num>
  <w:num w:numId="36">
    <w:abstractNumId w:val="20"/>
  </w:num>
  <w:num w:numId="37">
    <w:abstractNumId w:val="31"/>
  </w:num>
  <w:num w:numId="38">
    <w:abstractNumId w:val="43"/>
  </w:num>
  <w:num w:numId="39">
    <w:abstractNumId w:val="34"/>
  </w:num>
  <w:num w:numId="40">
    <w:abstractNumId w:val="32"/>
  </w:num>
  <w:num w:numId="41">
    <w:abstractNumId w:val="22"/>
  </w:num>
  <w:num w:numId="42">
    <w:abstractNumId w:val="29"/>
  </w:num>
  <w:num w:numId="43">
    <w:abstractNumId w:val="30"/>
  </w:num>
  <w:num w:numId="44">
    <w:abstractNumId w:val="37"/>
  </w:num>
  <w:num w:numId="45">
    <w:abstractNumId w:val="21"/>
  </w:num>
  <w:num w:numId="46">
    <w:abstractNumId w:val="42"/>
  </w:num>
  <w:num w:numId="47">
    <w:abstractNumId w:val="3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D3"/>
    <w:rsid w:val="006D1BD3"/>
    <w:rsid w:val="00783FB0"/>
    <w:rsid w:val="008A011B"/>
    <w:rsid w:val="009200D1"/>
    <w:rsid w:val="00A953D6"/>
    <w:rsid w:val="00AB7D9B"/>
    <w:rsid w:val="00C27ADC"/>
    <w:rsid w:val="00F316EA"/>
    <w:rsid w:val="00F93B6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8A7A7-6AC4-48CD-B539-41232D69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DE4B16"/>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FB"/>
    <w:rPr>
      <w:rFonts w:eastAsia="Times New Roman" w:cs="Helvetica-Light"/>
      <w:b/>
      <w:bCs/>
      <w:sz w:val="40"/>
      <w:szCs w:val="28"/>
    </w:rPr>
  </w:style>
  <w:style w:type="character" w:customStyle="1" w:styleId="Heading2Char">
    <w:name w:val="Heading 2 Char"/>
    <w:basedOn w:val="DefaultParagraphFont"/>
    <w:link w:val="Heading2"/>
    <w:uiPriority w:val="9"/>
    <w:rsid w:val="002345FB"/>
    <w:rPr>
      <w:rFonts w:eastAsia="Times New Roman" w:cs="Helvetica-Light"/>
      <w:b/>
      <w:bCs/>
      <w:color w:val="000000"/>
      <w:sz w:val="32"/>
      <w:szCs w:val="26"/>
    </w:rPr>
  </w:style>
  <w:style w:type="character" w:customStyle="1" w:styleId="Heading3Char">
    <w:name w:val="Heading 3 Char"/>
    <w:basedOn w:val="DefaultParagraphFont"/>
    <w:link w:val="Heading3"/>
    <w:uiPriority w:val="9"/>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table" w:customStyle="1" w:styleId="TableGrid8">
    <w:name w:val="Table Grid8"/>
    <w:basedOn w:val="TableNormal"/>
    <w:next w:val="TableGrid"/>
    <w:uiPriority w:val="59"/>
    <w:rsid w:val="006805CF"/>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65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Res\ResourcesRestrictedPermissions\Schools%20Forum\Schools%20Forum\LSF\Cabinet%20and%20Committee%20items\cabinet%20June%202018\balances%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School Balances 2009/10 to 2017/18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Sheet1!$A$4</c:f>
              <c:strCache>
                <c:ptCount val="1"/>
                <c:pt idx="0">
                  <c:v>Total Actual outturn</c:v>
                </c:pt>
              </c:strCache>
            </c:strRef>
          </c:tx>
          <c:spPr>
            <a:ln w="31750" cap="rnd">
              <a:solidFill>
                <a:schemeClr val="accent1"/>
              </a:solidFill>
              <a:round/>
            </a:ln>
            <a:effectLst/>
          </c:spPr>
          <c:marker>
            <c:symbol val="circle"/>
            <c:size val="17"/>
            <c:spPr>
              <a:solidFill>
                <a:schemeClr val="accent1"/>
              </a:solidFill>
              <a:ln>
                <a:noFill/>
              </a:ln>
              <a:effectLst/>
            </c:spPr>
          </c:marker>
          <c:dLbls>
            <c:delete val="1"/>
          </c:dLbls>
          <c:cat>
            <c:strRef>
              <c:f>Sheet1!$B$3:$J$3</c:f>
              <c:strCache>
                <c:ptCount val="9"/>
                <c:pt idx="0">
                  <c:v>2009/10</c:v>
                </c:pt>
                <c:pt idx="1">
                  <c:v>2010/11</c:v>
                </c:pt>
                <c:pt idx="2">
                  <c:v>2011/12</c:v>
                </c:pt>
                <c:pt idx="3">
                  <c:v>2012/13</c:v>
                </c:pt>
                <c:pt idx="4">
                  <c:v>2013/14</c:v>
                </c:pt>
                <c:pt idx="5">
                  <c:v>2014/15</c:v>
                </c:pt>
                <c:pt idx="6">
                  <c:v>2015/16</c:v>
                </c:pt>
                <c:pt idx="7">
                  <c:v>2016/17</c:v>
                </c:pt>
                <c:pt idx="8">
                  <c:v>2017/18</c:v>
                </c:pt>
              </c:strCache>
            </c:strRef>
          </c:cat>
          <c:val>
            <c:numRef>
              <c:f>Sheet1!$B$4:$J$4</c:f>
              <c:numCache>
                <c:formatCode>General</c:formatCode>
                <c:ptCount val="9"/>
                <c:pt idx="0">
                  <c:v>39.823</c:v>
                </c:pt>
                <c:pt idx="1">
                  <c:v>47.317</c:v>
                </c:pt>
                <c:pt idx="2">
                  <c:v>52.225000000000001</c:v>
                </c:pt>
                <c:pt idx="3">
                  <c:v>51.48</c:v>
                </c:pt>
                <c:pt idx="4">
                  <c:v>55.853999999999999</c:v>
                </c:pt>
                <c:pt idx="5">
                  <c:v>56.372999999999998</c:v>
                </c:pt>
                <c:pt idx="6">
                  <c:v>53.945999999999998</c:v>
                </c:pt>
                <c:pt idx="7">
                  <c:v>44.996000000000002</c:v>
                </c:pt>
                <c:pt idx="8">
                  <c:v>44.15</c:v>
                </c:pt>
              </c:numCache>
            </c:numRef>
          </c:val>
          <c:smooth val="0"/>
        </c:ser>
        <c:dLbls>
          <c:dLblPos val="ctr"/>
          <c:showLegendKey val="0"/>
          <c:showVal val="1"/>
          <c:showCatName val="0"/>
          <c:showSerName val="0"/>
          <c:showPercent val="0"/>
          <c:showBubbleSize val="0"/>
        </c:dLbls>
        <c:marker val="1"/>
        <c:smooth val="0"/>
        <c:axId val="236740760"/>
        <c:axId val="237283600"/>
      </c:lineChart>
      <c:catAx>
        <c:axId val="23674076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Finacial Year</a:t>
                </a:r>
              </a:p>
            </c:rich>
          </c:tx>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37283600"/>
        <c:crosses val="autoZero"/>
        <c:auto val="1"/>
        <c:lblAlgn val="ctr"/>
        <c:lblOffset val="100"/>
        <c:noMultiLvlLbl val="0"/>
      </c:catAx>
      <c:valAx>
        <c:axId val="237283600"/>
        <c:scaling>
          <c:orientation val="minMax"/>
        </c:scaling>
        <c:delete val="0"/>
        <c:axPos val="l"/>
        <c:majorGridlines>
          <c:spPr>
            <a:ln w="9525">
              <a:gradFill rotWithShape="0">
                <a:gsLst>
                  <a:gs pos="0">
                    <a:schemeClr val="lt1">
                      <a:lumMod val="75000"/>
                      <a:alpha val="36000"/>
                    </a:schemeClr>
                  </a:gs>
                  <a:gs pos="100000">
                    <a:schemeClr val="dk1">
                      <a:lumMod val="95000"/>
                      <a:lumOff val="5000"/>
                      <a:alpha val="42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GB"/>
                  <a:t>Year  end aggregate school balances (£m)</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36740760"/>
        <c:crosses val="autoZero"/>
        <c:crossBetween val="between"/>
      </c:valAx>
      <c:spPr>
        <a:noFill/>
        <a:ln>
          <a:noFill/>
        </a:ln>
        <a:effectLst/>
      </c:spPr>
    </c:plotArea>
    <c:plotVisOnly val="1"/>
    <c:dispBlanksAs val="gap"/>
    <c:showDLblsOverMax val="0"/>
  </c:chart>
  <c: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36D7-7D5E-48E8-A475-7576149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24</TotalTime>
  <Pages>39</Pages>
  <Words>10484</Words>
  <Characters>59765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Hyde, Ryan</cp:lastModifiedBy>
  <cp:revision>12</cp:revision>
  <cp:lastPrinted>2018-05-25T07:50:00Z</cp:lastPrinted>
  <dcterms:created xsi:type="dcterms:W3CDTF">2018-06-01T07:16:00Z</dcterms:created>
  <dcterms:modified xsi:type="dcterms:W3CDTF">2018-06-06T08:52:00Z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138681430</vt:i4>
  </property>
</Properties>
</file>